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499"/>
      </w:tblGrid>
      <w:tr w:rsidR="0038045E" w:rsidRPr="00A90AA3" w14:paraId="66040E79" w14:textId="77777777">
        <w:tc>
          <w:tcPr>
            <w:tcW w:w="9736" w:type="dxa"/>
            <w:gridSpan w:val="2"/>
          </w:tcPr>
          <w:p w14:paraId="311352A6" w14:textId="77777777" w:rsidR="0038045E" w:rsidRDefault="0038045E" w:rsidP="00943DD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The Board is asked to resolve that the following item be restricted to Directors and representatives from HLH and the Company Secretary’s office.</w:t>
            </w:r>
          </w:p>
          <w:p w14:paraId="58879FA3" w14:textId="33286E11" w:rsidR="0038045E" w:rsidRPr="00A90AA3" w:rsidRDefault="0038045E" w:rsidP="00943DD3">
            <w:pPr>
              <w:pStyle w:val="NoSpacing"/>
            </w:pPr>
          </w:p>
        </w:tc>
      </w:tr>
      <w:tr w:rsidR="002579EB" w:rsidRPr="00A90AA3" w14:paraId="667D710F" w14:textId="77777777" w:rsidTr="003C26E9">
        <w:tc>
          <w:tcPr>
            <w:tcW w:w="6237" w:type="dxa"/>
          </w:tcPr>
          <w:p w14:paraId="67B8000A" w14:textId="77777777" w:rsidR="002579EB" w:rsidRPr="00A90AA3" w:rsidRDefault="002579EB" w:rsidP="002579EB">
            <w:pPr>
              <w:pStyle w:val="NoSpacing"/>
              <w:rPr>
                <w:b/>
                <w:bCs/>
              </w:rPr>
            </w:pPr>
            <w:r w:rsidRPr="00A90AA3">
              <w:rPr>
                <w:b/>
                <w:bCs/>
              </w:rPr>
              <w:t>HIGH LIFE HIGHLAND</w:t>
            </w:r>
          </w:p>
          <w:p w14:paraId="3BD1EF96" w14:textId="77777777" w:rsidR="002579EB" w:rsidRPr="00A90AA3" w:rsidRDefault="002579EB" w:rsidP="002579EB">
            <w:pPr>
              <w:pStyle w:val="NoSpacing"/>
              <w:rPr>
                <w:b/>
                <w:bCs/>
              </w:rPr>
            </w:pPr>
            <w:r w:rsidRPr="00A90AA3">
              <w:rPr>
                <w:b/>
                <w:bCs/>
              </w:rPr>
              <w:t>REPORT TO BOARD OF DIRECTORS</w:t>
            </w:r>
          </w:p>
          <w:p w14:paraId="34E4F720" w14:textId="38A46967" w:rsidR="002579EB" w:rsidRPr="00A90AA3" w:rsidRDefault="0038045E" w:rsidP="002579E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31 </w:t>
            </w:r>
            <w:r w:rsidR="00943DD3">
              <w:rPr>
                <w:b/>
                <w:bCs/>
              </w:rPr>
              <w:t>August</w:t>
            </w:r>
            <w:r w:rsidR="00F50517">
              <w:rPr>
                <w:b/>
                <w:bCs/>
              </w:rPr>
              <w:t xml:space="preserve"> 2023</w:t>
            </w:r>
          </w:p>
        </w:tc>
        <w:tc>
          <w:tcPr>
            <w:tcW w:w="3499" w:type="dxa"/>
          </w:tcPr>
          <w:p w14:paraId="7BBD1465" w14:textId="77777777" w:rsidR="004C734D" w:rsidRDefault="002579EB" w:rsidP="00943DD3">
            <w:pPr>
              <w:pStyle w:val="NoSpacing"/>
            </w:pPr>
            <w:r w:rsidRPr="00A90AA3">
              <w:t>AGENDA ITEM</w:t>
            </w:r>
            <w:r w:rsidR="008C5CBC">
              <w:t xml:space="preserve"> </w:t>
            </w:r>
          </w:p>
          <w:p w14:paraId="4EE94809" w14:textId="6DA20595" w:rsidR="002579EB" w:rsidRPr="00A90AA3" w:rsidRDefault="002579EB" w:rsidP="00943DD3">
            <w:pPr>
              <w:pStyle w:val="NoSpacing"/>
            </w:pPr>
            <w:r w:rsidRPr="00A90AA3">
              <w:t>REPORT No HLH/</w:t>
            </w:r>
            <w:r w:rsidR="003C26E9">
              <w:t xml:space="preserve"> </w:t>
            </w:r>
            <w:r w:rsidR="008C5CBC">
              <w:t xml:space="preserve">  </w:t>
            </w:r>
            <w:r w:rsidR="003C26E9">
              <w:t xml:space="preserve"> </w:t>
            </w:r>
            <w:r w:rsidRPr="00A90AA3">
              <w:t>/2</w:t>
            </w:r>
            <w:r w:rsidR="004160EF">
              <w:t>3</w:t>
            </w:r>
          </w:p>
        </w:tc>
      </w:tr>
    </w:tbl>
    <w:p w14:paraId="4EC5F4EF" w14:textId="7AD1BEA5" w:rsidR="006C2604" w:rsidRPr="00A90AA3" w:rsidRDefault="006C2604" w:rsidP="002579EB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579EB" w:rsidRPr="00A90AA3" w14:paraId="4E22C322" w14:textId="77777777" w:rsidTr="000E18CA">
        <w:tc>
          <w:tcPr>
            <w:tcW w:w="9736" w:type="dxa"/>
          </w:tcPr>
          <w:p w14:paraId="194A3011" w14:textId="514BC397" w:rsidR="002579EB" w:rsidRPr="00A90AA3" w:rsidRDefault="006E6ED7" w:rsidP="006D0D6A">
            <w:pPr>
              <w:pStyle w:val="NoSpacing"/>
              <w:rPr>
                <w:b/>
                <w:bCs/>
              </w:rPr>
            </w:pPr>
            <w:r w:rsidRPr="00A90AA3">
              <w:rPr>
                <w:b/>
                <w:bCs/>
              </w:rPr>
              <w:t>HR UPDATE</w:t>
            </w:r>
            <w:r w:rsidR="00394EBE">
              <w:rPr>
                <w:b/>
                <w:bCs/>
              </w:rPr>
              <w:t xml:space="preserve"> – Report by Chief Executive</w:t>
            </w:r>
          </w:p>
        </w:tc>
      </w:tr>
    </w:tbl>
    <w:p w14:paraId="5B8BC889" w14:textId="4E34867B" w:rsidR="002579EB" w:rsidRPr="00A90AA3" w:rsidRDefault="002579EB" w:rsidP="002579E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D0D6A" w:rsidRPr="00A90AA3" w14:paraId="3D8CDE3D" w14:textId="77777777" w:rsidTr="006D0D6A">
        <w:tc>
          <w:tcPr>
            <w:tcW w:w="9736" w:type="dxa"/>
          </w:tcPr>
          <w:p w14:paraId="77CDDC87" w14:textId="69432C67" w:rsidR="006D0D6A" w:rsidRPr="00A90AA3" w:rsidRDefault="005D68D0" w:rsidP="002579EB">
            <w:pPr>
              <w:pStyle w:val="NoSpacing"/>
            </w:pPr>
            <w:bookmarkStart w:id="0" w:name="_Hlk89254243"/>
            <w:r>
              <w:rPr>
                <w:b/>
                <w:bCs/>
              </w:rPr>
              <w:t>Recommendation</w:t>
            </w:r>
          </w:p>
          <w:p w14:paraId="6C71DCF4" w14:textId="77777777" w:rsidR="00F50517" w:rsidRDefault="00F50517" w:rsidP="000E18CA">
            <w:pPr>
              <w:pStyle w:val="NoSpacing"/>
              <w:jc w:val="both"/>
            </w:pPr>
          </w:p>
          <w:p w14:paraId="70BEF412" w14:textId="2A88ED8A" w:rsidR="00F110B2" w:rsidRPr="00A90AA3" w:rsidRDefault="006E6ED7" w:rsidP="000E18CA">
            <w:pPr>
              <w:pStyle w:val="NoSpacing"/>
              <w:jc w:val="both"/>
            </w:pPr>
            <w:r w:rsidRPr="00A90AA3">
              <w:t xml:space="preserve">The purpose of this report is to update </w:t>
            </w:r>
            <w:r w:rsidR="00F50517">
              <w:t xml:space="preserve">Board Members </w:t>
            </w:r>
            <w:r w:rsidR="00005ECF" w:rsidRPr="00A90AA3">
              <w:t xml:space="preserve">on </w:t>
            </w:r>
            <w:r w:rsidR="00F50517">
              <w:t xml:space="preserve">the charity’s </w:t>
            </w:r>
            <w:r w:rsidR="00005ECF" w:rsidRPr="00A90AA3">
              <w:t>HR related matters</w:t>
            </w:r>
            <w:r w:rsidR="00F50517">
              <w:t>.</w:t>
            </w:r>
          </w:p>
          <w:p w14:paraId="77DF8143" w14:textId="546EDD80" w:rsidR="007C3ECB" w:rsidRPr="00A90AA3" w:rsidRDefault="007C3ECB" w:rsidP="007C3ECB">
            <w:pPr>
              <w:pStyle w:val="NoSpacing"/>
            </w:pPr>
          </w:p>
          <w:p w14:paraId="3CDD9D11" w14:textId="4BA50C46" w:rsidR="00B07720" w:rsidRDefault="00B07720" w:rsidP="00B07720">
            <w:pPr>
              <w:pStyle w:val="NoSpacing"/>
            </w:pPr>
            <w:r>
              <w:t>It is recommended Directors:</w:t>
            </w:r>
          </w:p>
          <w:p w14:paraId="1CDF59AA" w14:textId="77777777" w:rsidR="00B07720" w:rsidRDefault="00B07720" w:rsidP="00B07720">
            <w:pPr>
              <w:pStyle w:val="NoSpacing"/>
            </w:pPr>
          </w:p>
          <w:p w14:paraId="62E8B341" w14:textId="20EC9298" w:rsidR="003C7969" w:rsidRDefault="00F50517">
            <w:pPr>
              <w:pStyle w:val="NoSpacing"/>
              <w:numPr>
                <w:ilvl w:val="0"/>
                <w:numId w:val="5"/>
              </w:numPr>
              <w:jc w:val="both"/>
            </w:pPr>
            <w:r>
              <w:t xml:space="preserve">note and comment on </w:t>
            </w:r>
            <w:r w:rsidR="00B07720">
              <w:t xml:space="preserve">the standing HR matters for </w:t>
            </w:r>
            <w:r>
              <w:t>Q</w:t>
            </w:r>
            <w:r w:rsidR="00943DD3">
              <w:t xml:space="preserve">1 </w:t>
            </w:r>
            <w:r>
              <w:t>(</w:t>
            </w:r>
            <w:r w:rsidR="00943DD3">
              <w:t>April - June</w:t>
            </w:r>
            <w:r>
              <w:t xml:space="preserve"> 202</w:t>
            </w:r>
            <w:r w:rsidR="00653736">
              <w:t>3</w:t>
            </w:r>
            <w:r>
              <w:t>)</w:t>
            </w:r>
            <w:r w:rsidR="00217D48">
              <w:t>;</w:t>
            </w:r>
            <w:r w:rsidR="001646D1">
              <w:t xml:space="preserve"> and</w:t>
            </w:r>
          </w:p>
          <w:p w14:paraId="126DF2D9" w14:textId="60085B0A" w:rsidR="00684B46" w:rsidRDefault="00187203">
            <w:pPr>
              <w:pStyle w:val="NoSpacing"/>
              <w:numPr>
                <w:ilvl w:val="0"/>
                <w:numId w:val="5"/>
              </w:numPr>
              <w:jc w:val="both"/>
            </w:pPr>
            <w:r>
              <w:t>note and comment on</w:t>
            </w:r>
            <w:r w:rsidR="00046EC9">
              <w:t xml:space="preserve"> </w:t>
            </w:r>
            <w:r w:rsidR="00684B46">
              <w:t>the:</w:t>
            </w:r>
          </w:p>
          <w:p w14:paraId="7A54F900" w14:textId="2BFD688C" w:rsidR="00D43B41" w:rsidRDefault="00684B46" w:rsidP="00684B46">
            <w:pPr>
              <w:pStyle w:val="NoSpacing"/>
              <w:numPr>
                <w:ilvl w:val="0"/>
                <w:numId w:val="25"/>
              </w:numPr>
              <w:jc w:val="both"/>
            </w:pPr>
            <w:r>
              <w:t>a</w:t>
            </w:r>
            <w:r w:rsidR="00046EC9">
              <w:t xml:space="preserve">ttendance </w:t>
            </w:r>
            <w:r>
              <w:t>m</w:t>
            </w:r>
            <w:r w:rsidR="00046EC9">
              <w:t>anagement</w:t>
            </w:r>
            <w:r>
              <w:t xml:space="preserve"> </w:t>
            </w:r>
            <w:proofErr w:type="gramStart"/>
            <w:r>
              <w:t>review;</w:t>
            </w:r>
            <w:proofErr w:type="gramEnd"/>
          </w:p>
          <w:p w14:paraId="597CC428" w14:textId="4CC27AA4" w:rsidR="00684B46" w:rsidRDefault="00684B46" w:rsidP="00684B46">
            <w:pPr>
              <w:pStyle w:val="NoSpacing"/>
              <w:numPr>
                <w:ilvl w:val="0"/>
                <w:numId w:val="25"/>
              </w:numPr>
              <w:jc w:val="both"/>
            </w:pPr>
            <w:r>
              <w:t xml:space="preserve">redesign staffing </w:t>
            </w:r>
            <w:proofErr w:type="gramStart"/>
            <w:r>
              <w:t>impact;</w:t>
            </w:r>
            <w:proofErr w:type="gramEnd"/>
            <w:r>
              <w:t xml:space="preserve"> </w:t>
            </w:r>
          </w:p>
          <w:p w14:paraId="3A214B7D" w14:textId="1184C8C4" w:rsidR="00684B46" w:rsidRDefault="00684B46" w:rsidP="00684B46">
            <w:pPr>
              <w:pStyle w:val="NoSpacing"/>
              <w:numPr>
                <w:ilvl w:val="0"/>
                <w:numId w:val="25"/>
              </w:numPr>
              <w:jc w:val="both"/>
            </w:pPr>
            <w:r>
              <w:t>employment of under 16s update</w:t>
            </w:r>
            <w:r w:rsidR="00A76FF4">
              <w:t>; and</w:t>
            </w:r>
          </w:p>
          <w:p w14:paraId="3E54842C" w14:textId="74A942FA" w:rsidR="00A76FF4" w:rsidRDefault="00A9512A" w:rsidP="00684B46">
            <w:pPr>
              <w:pStyle w:val="NoSpacing"/>
              <w:numPr>
                <w:ilvl w:val="0"/>
                <w:numId w:val="25"/>
              </w:numPr>
              <w:jc w:val="both"/>
            </w:pPr>
            <w:r>
              <w:t>c</w:t>
            </w:r>
            <w:r w:rsidR="00A76FF4">
              <w:t>orporate training update</w:t>
            </w:r>
          </w:p>
          <w:p w14:paraId="7528E958" w14:textId="5CF9E863" w:rsidR="001646D1" w:rsidRPr="00A90AA3" w:rsidRDefault="001646D1" w:rsidP="001646D1">
            <w:pPr>
              <w:pStyle w:val="NoSpacing"/>
              <w:jc w:val="both"/>
            </w:pPr>
          </w:p>
        </w:tc>
      </w:tr>
      <w:bookmarkEnd w:id="0"/>
    </w:tbl>
    <w:p w14:paraId="282914E2" w14:textId="77777777" w:rsidR="00E53486" w:rsidRPr="00A90AA3" w:rsidRDefault="00E53486" w:rsidP="002579EB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885"/>
      </w:tblGrid>
      <w:tr w:rsidR="006D0D6A" w:rsidRPr="00A90AA3" w14:paraId="64306F6E" w14:textId="77777777" w:rsidTr="057B8305">
        <w:tc>
          <w:tcPr>
            <w:tcW w:w="851" w:type="dxa"/>
          </w:tcPr>
          <w:p w14:paraId="14A652F0" w14:textId="26E80CD1" w:rsidR="006D0D6A" w:rsidRPr="000E18CA" w:rsidRDefault="000E18CA" w:rsidP="000E18CA">
            <w:pPr>
              <w:pStyle w:val="NoSpacing"/>
              <w:jc w:val="both"/>
              <w:rPr>
                <w:b/>
                <w:bCs/>
              </w:rPr>
            </w:pPr>
            <w:r w:rsidRPr="000E18CA">
              <w:rPr>
                <w:b/>
                <w:bCs/>
              </w:rPr>
              <w:t>1.</w:t>
            </w:r>
          </w:p>
        </w:tc>
        <w:tc>
          <w:tcPr>
            <w:tcW w:w="8885" w:type="dxa"/>
          </w:tcPr>
          <w:p w14:paraId="4AD59B01" w14:textId="77777777" w:rsidR="006D0D6A" w:rsidRPr="00A90AA3" w:rsidRDefault="006D0D6A" w:rsidP="002579EB">
            <w:pPr>
              <w:pStyle w:val="NoSpacing"/>
              <w:rPr>
                <w:b/>
                <w:bCs/>
              </w:rPr>
            </w:pPr>
            <w:r w:rsidRPr="00A90AA3">
              <w:rPr>
                <w:b/>
                <w:bCs/>
              </w:rPr>
              <w:t>Business Plan Contribution</w:t>
            </w:r>
          </w:p>
          <w:p w14:paraId="4BC874AA" w14:textId="4C1488EC" w:rsidR="006D0D6A" w:rsidRPr="00A90AA3" w:rsidRDefault="006D0D6A" w:rsidP="002579EB">
            <w:pPr>
              <w:pStyle w:val="NoSpacing"/>
              <w:rPr>
                <w:b/>
                <w:bCs/>
              </w:rPr>
            </w:pPr>
          </w:p>
        </w:tc>
      </w:tr>
      <w:tr w:rsidR="006D0D6A" w:rsidRPr="00A90AA3" w14:paraId="6E0EB0AB" w14:textId="77777777" w:rsidTr="057B8305">
        <w:trPr>
          <w:trHeight w:val="6355"/>
        </w:trPr>
        <w:tc>
          <w:tcPr>
            <w:tcW w:w="851" w:type="dxa"/>
          </w:tcPr>
          <w:p w14:paraId="325D1AF1" w14:textId="5C5CEC63" w:rsidR="006D0D6A" w:rsidRPr="00A90AA3" w:rsidRDefault="000E18CA" w:rsidP="000E18CA">
            <w:pPr>
              <w:pStyle w:val="NoSpacing"/>
              <w:jc w:val="both"/>
            </w:pPr>
            <w:r>
              <w:t>1.1</w:t>
            </w:r>
          </w:p>
        </w:tc>
        <w:tc>
          <w:tcPr>
            <w:tcW w:w="8885" w:type="dxa"/>
          </w:tcPr>
          <w:p w14:paraId="03DA5FA1" w14:textId="7008C827" w:rsidR="00D766DD" w:rsidRPr="00A90AA3" w:rsidRDefault="00D766DD" w:rsidP="00D766DD">
            <w:pPr>
              <w:jc w:val="both"/>
              <w:rPr>
                <w:rFonts w:ascii="Arial" w:hAnsi="Arial" w:cs="Arial"/>
                <w:szCs w:val="24"/>
              </w:rPr>
            </w:pPr>
            <w:r w:rsidRPr="00A90AA3">
              <w:rPr>
                <w:rFonts w:ascii="Arial" w:hAnsi="Arial" w:cs="Arial"/>
                <w:szCs w:val="24"/>
              </w:rPr>
              <w:t>This report supports the highlighted Business Outcome</w:t>
            </w:r>
            <w:r w:rsidR="0039675E">
              <w:rPr>
                <w:rFonts w:ascii="Arial" w:hAnsi="Arial" w:cs="Arial"/>
                <w:szCs w:val="24"/>
              </w:rPr>
              <w:t>s</w:t>
            </w:r>
            <w:r w:rsidRPr="00A90AA3">
              <w:rPr>
                <w:rFonts w:ascii="Arial" w:hAnsi="Arial" w:cs="Arial"/>
                <w:szCs w:val="24"/>
              </w:rPr>
              <w:t xml:space="preserve"> from the High Life Highland (HLH) Business Plan:</w:t>
            </w:r>
          </w:p>
          <w:p w14:paraId="6B93584F" w14:textId="77777777" w:rsidR="00D766DD" w:rsidRPr="00A90AA3" w:rsidRDefault="00D766DD" w:rsidP="00D766DD">
            <w:pPr>
              <w:jc w:val="both"/>
              <w:rPr>
                <w:rFonts w:ascii="Arial" w:hAnsi="Arial" w:cs="Arial"/>
                <w:szCs w:val="24"/>
              </w:rPr>
            </w:pPr>
          </w:p>
          <w:p w14:paraId="0EAFD114" w14:textId="77777777" w:rsidR="00D766DD" w:rsidRPr="00A90AA3" w:rsidRDefault="00D766DD" w:rsidP="001C6B8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0AA3">
              <w:rPr>
                <w:rFonts w:ascii="Arial" w:hAnsi="Arial" w:cs="Arial"/>
                <w:sz w:val="24"/>
                <w:szCs w:val="24"/>
              </w:rPr>
              <w:t>Seek to continuously improve standards of health and safety.</w:t>
            </w:r>
          </w:p>
          <w:p w14:paraId="09F4A1D8" w14:textId="77777777" w:rsidR="00D766DD" w:rsidRPr="00A90AA3" w:rsidRDefault="00D766DD" w:rsidP="001C6B8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0AA3">
              <w:rPr>
                <w:rFonts w:ascii="Arial" w:hAnsi="Arial" w:cs="Arial"/>
                <w:sz w:val="24"/>
                <w:szCs w:val="24"/>
              </w:rPr>
              <w:t>Commit to the Scottish Government’s zero carbon targets and maintain the highest standards in environmental compliance.</w:t>
            </w:r>
          </w:p>
          <w:p w14:paraId="08F18A14" w14:textId="77777777" w:rsidR="00D766DD" w:rsidRPr="00A90AA3" w:rsidRDefault="00D766DD" w:rsidP="001C6B8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0AA3">
              <w:rPr>
                <w:rFonts w:ascii="Arial" w:hAnsi="Arial" w:cs="Arial"/>
                <w:sz w:val="24"/>
                <w:szCs w:val="24"/>
              </w:rPr>
              <w:t>Use research and market analysis to develop and improve services to meet customer needs.</w:t>
            </w:r>
          </w:p>
          <w:p w14:paraId="354AD3FE" w14:textId="77777777" w:rsidR="00D766DD" w:rsidRPr="000E18CA" w:rsidRDefault="00D766DD" w:rsidP="001C6B8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57B83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Increase employee satisfaction, </w:t>
            </w:r>
            <w:bookmarkStart w:id="1" w:name="_Int_DxiQLWxq"/>
            <w:proofErr w:type="gramStart"/>
            <w:r w:rsidRPr="057B8305">
              <w:rPr>
                <w:rFonts w:ascii="Arial" w:hAnsi="Arial" w:cs="Arial"/>
                <w:b/>
                <w:bCs/>
                <w:sz w:val="24"/>
                <w:szCs w:val="24"/>
              </w:rPr>
              <w:t>engagement</w:t>
            </w:r>
            <w:bookmarkEnd w:id="1"/>
            <w:proofErr w:type="gramEnd"/>
            <w:r w:rsidRPr="057B83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development to improve staff recruitment and retention.</w:t>
            </w:r>
          </w:p>
          <w:p w14:paraId="12B38FFE" w14:textId="77777777" w:rsidR="00D766DD" w:rsidRPr="00A90AA3" w:rsidRDefault="00D766DD" w:rsidP="001C6B8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0AA3">
              <w:rPr>
                <w:rFonts w:ascii="Arial" w:hAnsi="Arial" w:cs="Arial"/>
                <w:sz w:val="24"/>
                <w:szCs w:val="24"/>
              </w:rPr>
              <w:t>Improve the financial sustainability of the company.</w:t>
            </w:r>
          </w:p>
          <w:p w14:paraId="0DA7B926" w14:textId="77777777" w:rsidR="00D766DD" w:rsidRPr="000E18CA" w:rsidRDefault="00D766DD" w:rsidP="001C6B8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8CA">
              <w:rPr>
                <w:rFonts w:ascii="Arial" w:hAnsi="Arial" w:cs="Arial"/>
                <w:b/>
                <w:bCs/>
                <w:sz w:val="24"/>
                <w:szCs w:val="24"/>
              </w:rPr>
              <w:t>Value and strengthen the relationship with THC.</w:t>
            </w:r>
          </w:p>
          <w:p w14:paraId="7676B148" w14:textId="77777777" w:rsidR="00D766DD" w:rsidRPr="00A90AA3" w:rsidRDefault="00D766DD" w:rsidP="001C6B8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0AA3">
              <w:rPr>
                <w:rFonts w:ascii="Arial" w:hAnsi="Arial" w:cs="Arial"/>
                <w:sz w:val="24"/>
                <w:szCs w:val="24"/>
              </w:rPr>
              <w:t>Develop and deliver the HLH Corporate Programme and seek to attract capital investment.</w:t>
            </w:r>
          </w:p>
          <w:p w14:paraId="427C0620" w14:textId="77777777" w:rsidR="00D766DD" w:rsidRPr="00A90AA3" w:rsidRDefault="00D766DD" w:rsidP="001C6B8E">
            <w:pPr>
              <w:pStyle w:val="ListParagraph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90AA3">
              <w:rPr>
                <w:rFonts w:ascii="Arial" w:hAnsi="Arial" w:cs="Arial"/>
                <w:sz w:val="24"/>
                <w:szCs w:val="24"/>
              </w:rPr>
              <w:t>Use research and market analysis to develop and deliver proactive marketing and promotion of HLH and its services.</w:t>
            </w:r>
          </w:p>
          <w:p w14:paraId="2B03D3EA" w14:textId="77777777" w:rsidR="00D766DD" w:rsidRPr="00A90AA3" w:rsidRDefault="00D766DD" w:rsidP="001C6B8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0AA3">
              <w:rPr>
                <w:rFonts w:ascii="Arial" w:hAnsi="Arial" w:cs="Arial"/>
                <w:sz w:val="24"/>
                <w:szCs w:val="24"/>
              </w:rPr>
              <w:t>Initiate and implement an ICT digital transformation strategy across the charity.</w:t>
            </w:r>
          </w:p>
          <w:p w14:paraId="4CE58D20" w14:textId="77777777" w:rsidR="00D766DD" w:rsidRPr="000E18CA" w:rsidRDefault="00D766DD" w:rsidP="001C6B8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57B83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Develop and strengthen relationships with customers, key </w:t>
            </w:r>
            <w:bookmarkStart w:id="2" w:name="_Int_olbQNSeV"/>
            <w:proofErr w:type="gramStart"/>
            <w:r w:rsidRPr="057B8305">
              <w:rPr>
                <w:rFonts w:ascii="Arial" w:hAnsi="Arial" w:cs="Arial"/>
                <w:b/>
                <w:bCs/>
                <w:sz w:val="24"/>
                <w:szCs w:val="24"/>
              </w:rPr>
              <w:t>stakeholders</w:t>
            </w:r>
            <w:bookmarkEnd w:id="2"/>
            <w:proofErr w:type="gramEnd"/>
            <w:r w:rsidRPr="057B83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partners.</w:t>
            </w:r>
          </w:p>
          <w:p w14:paraId="38DF6ABD" w14:textId="1421573B" w:rsidR="006D0D6A" w:rsidRPr="000E18CA" w:rsidRDefault="00D766DD" w:rsidP="001C6B8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57B8305">
              <w:rPr>
                <w:rFonts w:ascii="Arial" w:hAnsi="Arial" w:cs="Arial"/>
                <w:sz w:val="24"/>
                <w:szCs w:val="24"/>
              </w:rPr>
              <w:t xml:space="preserve">Deliver targeted programmes which support and enhance the physical and mental health and wellbeing of the </w:t>
            </w:r>
            <w:bookmarkStart w:id="3" w:name="_Int_3QzYGjlq"/>
            <w:proofErr w:type="gramStart"/>
            <w:r w:rsidRPr="057B8305">
              <w:rPr>
                <w:rFonts w:ascii="Arial" w:hAnsi="Arial" w:cs="Arial"/>
                <w:sz w:val="24"/>
                <w:szCs w:val="24"/>
              </w:rPr>
              <w:t>population</w:t>
            </w:r>
            <w:bookmarkEnd w:id="3"/>
            <w:proofErr w:type="gramEnd"/>
            <w:r w:rsidRPr="057B8305">
              <w:rPr>
                <w:rFonts w:ascii="Arial" w:hAnsi="Arial" w:cs="Arial"/>
                <w:sz w:val="24"/>
                <w:szCs w:val="24"/>
              </w:rPr>
              <w:t xml:space="preserve"> and which contribute to the prevention agenda</w:t>
            </w:r>
            <w:r w:rsidR="000E18CA" w:rsidRPr="057B830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BAE8B77" w14:textId="1F4AE263" w:rsidR="006D0D6A" w:rsidRDefault="006D0D6A" w:rsidP="002579EB">
      <w:pPr>
        <w:pStyle w:val="NoSpacing"/>
      </w:pPr>
    </w:p>
    <w:tbl>
      <w:tblPr>
        <w:tblStyle w:val="TableGrid"/>
        <w:tblW w:w="10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808"/>
        <w:gridCol w:w="49"/>
        <w:gridCol w:w="18"/>
        <w:gridCol w:w="265"/>
      </w:tblGrid>
      <w:tr w:rsidR="00CE6306" w:rsidRPr="00A90AA3" w14:paraId="34AA3735" w14:textId="77777777" w:rsidTr="006D308B">
        <w:trPr>
          <w:gridAfter w:val="2"/>
          <w:wAfter w:w="283" w:type="dxa"/>
        </w:trPr>
        <w:tc>
          <w:tcPr>
            <w:tcW w:w="1134" w:type="dxa"/>
          </w:tcPr>
          <w:p w14:paraId="4CE73AA6" w14:textId="6FBAB5FE" w:rsidR="006D0D6A" w:rsidRPr="000E18CA" w:rsidRDefault="000E18CA" w:rsidP="000E18CA">
            <w:pPr>
              <w:pStyle w:val="NoSpacing"/>
              <w:rPr>
                <w:b/>
                <w:bCs/>
              </w:rPr>
            </w:pPr>
            <w:r w:rsidRPr="000E18CA">
              <w:rPr>
                <w:b/>
                <w:bCs/>
              </w:rPr>
              <w:t>2.</w:t>
            </w:r>
          </w:p>
        </w:tc>
        <w:tc>
          <w:tcPr>
            <w:tcW w:w="8857" w:type="dxa"/>
            <w:gridSpan w:val="2"/>
          </w:tcPr>
          <w:p w14:paraId="5DC1CEB1" w14:textId="47746AC6" w:rsidR="006D0D6A" w:rsidRPr="00A90AA3" w:rsidRDefault="006D0D6A" w:rsidP="00566883">
            <w:pPr>
              <w:pStyle w:val="NoSpacing"/>
              <w:ind w:right="37"/>
              <w:rPr>
                <w:b/>
                <w:bCs/>
              </w:rPr>
            </w:pPr>
            <w:r w:rsidRPr="00A90AA3">
              <w:rPr>
                <w:b/>
                <w:bCs/>
              </w:rPr>
              <w:t>Background</w:t>
            </w:r>
          </w:p>
          <w:p w14:paraId="6F2334B7" w14:textId="77777777" w:rsidR="006D0D6A" w:rsidRPr="00A90AA3" w:rsidRDefault="006D0D6A" w:rsidP="00566883">
            <w:pPr>
              <w:pStyle w:val="NoSpacing"/>
              <w:ind w:right="37"/>
              <w:rPr>
                <w:b/>
                <w:bCs/>
              </w:rPr>
            </w:pPr>
          </w:p>
        </w:tc>
      </w:tr>
      <w:tr w:rsidR="00CE6306" w:rsidRPr="00A90AA3" w14:paraId="4A8CE2EA" w14:textId="77777777" w:rsidTr="006D308B">
        <w:trPr>
          <w:gridAfter w:val="2"/>
          <w:wAfter w:w="283" w:type="dxa"/>
        </w:trPr>
        <w:tc>
          <w:tcPr>
            <w:tcW w:w="1134" w:type="dxa"/>
          </w:tcPr>
          <w:p w14:paraId="0114C74C" w14:textId="17B803FB" w:rsidR="006D0D6A" w:rsidRPr="00A90AA3" w:rsidRDefault="000E18CA" w:rsidP="000E18CA">
            <w:pPr>
              <w:pStyle w:val="NoSpacing"/>
            </w:pPr>
            <w:r>
              <w:t>2.1</w:t>
            </w:r>
          </w:p>
        </w:tc>
        <w:tc>
          <w:tcPr>
            <w:tcW w:w="8857" w:type="dxa"/>
            <w:gridSpan w:val="2"/>
          </w:tcPr>
          <w:p w14:paraId="04820057" w14:textId="61474C8B" w:rsidR="003C26E9" w:rsidRDefault="00E72386" w:rsidP="00566883">
            <w:pPr>
              <w:ind w:right="37"/>
              <w:jc w:val="both"/>
              <w:rPr>
                <w:rFonts w:ascii="Arial" w:hAnsi="Arial" w:cs="Arial"/>
                <w:szCs w:val="24"/>
              </w:rPr>
            </w:pPr>
            <w:r w:rsidRPr="00891252">
              <w:rPr>
                <w:rFonts w:ascii="Arial" w:hAnsi="Arial" w:cs="Arial"/>
                <w:szCs w:val="24"/>
              </w:rPr>
              <w:t>Th</w:t>
            </w:r>
            <w:r w:rsidR="00550B6F" w:rsidRPr="00891252">
              <w:rPr>
                <w:rFonts w:ascii="Arial" w:hAnsi="Arial" w:cs="Arial"/>
                <w:szCs w:val="24"/>
              </w:rPr>
              <w:t xml:space="preserve">is </w:t>
            </w:r>
            <w:r w:rsidR="00975ADA" w:rsidRPr="00891252">
              <w:rPr>
                <w:rFonts w:ascii="Arial" w:hAnsi="Arial" w:cs="Arial"/>
                <w:szCs w:val="24"/>
              </w:rPr>
              <w:t>report will summarise and update on the following</w:t>
            </w:r>
            <w:r w:rsidR="00791E6B" w:rsidRPr="00891252">
              <w:rPr>
                <w:rFonts w:ascii="Arial" w:hAnsi="Arial" w:cs="Arial"/>
                <w:szCs w:val="24"/>
              </w:rPr>
              <w:t xml:space="preserve"> </w:t>
            </w:r>
            <w:r w:rsidR="00782766" w:rsidRPr="00891252">
              <w:rPr>
                <w:rFonts w:ascii="Arial" w:hAnsi="Arial" w:cs="Arial"/>
                <w:szCs w:val="24"/>
              </w:rPr>
              <w:t>standing</w:t>
            </w:r>
            <w:r w:rsidR="00975ADA" w:rsidRPr="00891252">
              <w:rPr>
                <w:rFonts w:ascii="Arial" w:hAnsi="Arial" w:cs="Arial"/>
                <w:szCs w:val="24"/>
              </w:rPr>
              <w:t xml:space="preserve"> HR </w:t>
            </w:r>
            <w:r w:rsidR="009765A8" w:rsidRPr="00891252">
              <w:rPr>
                <w:rFonts w:ascii="Arial" w:hAnsi="Arial" w:cs="Arial"/>
                <w:szCs w:val="24"/>
              </w:rPr>
              <w:t xml:space="preserve">matters, relating to </w:t>
            </w:r>
            <w:r w:rsidR="006B118A">
              <w:rPr>
                <w:rFonts w:ascii="Arial" w:hAnsi="Arial" w:cs="Arial"/>
                <w:szCs w:val="24"/>
              </w:rPr>
              <w:t>202</w:t>
            </w:r>
            <w:r w:rsidR="00943DD3">
              <w:rPr>
                <w:rFonts w:ascii="Arial" w:hAnsi="Arial" w:cs="Arial"/>
                <w:szCs w:val="24"/>
              </w:rPr>
              <w:t>3</w:t>
            </w:r>
            <w:r w:rsidR="006B118A">
              <w:rPr>
                <w:rFonts w:ascii="Arial" w:hAnsi="Arial" w:cs="Arial"/>
                <w:szCs w:val="24"/>
              </w:rPr>
              <w:t>/2</w:t>
            </w:r>
            <w:r w:rsidR="00943DD3">
              <w:rPr>
                <w:rFonts w:ascii="Arial" w:hAnsi="Arial" w:cs="Arial"/>
                <w:szCs w:val="24"/>
              </w:rPr>
              <w:t>4</w:t>
            </w:r>
            <w:r w:rsidR="009765A8" w:rsidRPr="00891252">
              <w:rPr>
                <w:rFonts w:ascii="Arial" w:hAnsi="Arial" w:cs="Arial"/>
                <w:szCs w:val="24"/>
              </w:rPr>
              <w:t xml:space="preserve"> </w:t>
            </w:r>
            <w:r w:rsidR="00F50517">
              <w:rPr>
                <w:rFonts w:ascii="Arial" w:hAnsi="Arial" w:cs="Arial"/>
                <w:szCs w:val="24"/>
              </w:rPr>
              <w:t>Q</w:t>
            </w:r>
            <w:r w:rsidR="00943DD3">
              <w:rPr>
                <w:rFonts w:ascii="Arial" w:hAnsi="Arial" w:cs="Arial"/>
                <w:szCs w:val="24"/>
              </w:rPr>
              <w:t>1</w:t>
            </w:r>
            <w:r w:rsidR="009765A8" w:rsidRPr="00891252">
              <w:rPr>
                <w:rFonts w:ascii="Arial" w:hAnsi="Arial" w:cs="Arial"/>
                <w:szCs w:val="24"/>
              </w:rPr>
              <w:t>.</w:t>
            </w:r>
          </w:p>
          <w:p w14:paraId="2C986BD3" w14:textId="77777777" w:rsidR="005D68D0" w:rsidRPr="00891252" w:rsidRDefault="005D68D0" w:rsidP="00566883">
            <w:pPr>
              <w:ind w:right="37"/>
              <w:jc w:val="both"/>
              <w:rPr>
                <w:rFonts w:ascii="Arial" w:hAnsi="Arial" w:cs="Arial"/>
                <w:szCs w:val="24"/>
              </w:rPr>
            </w:pPr>
          </w:p>
          <w:p w14:paraId="0BD889B4" w14:textId="10FC2FA0" w:rsidR="003A43C1" w:rsidRDefault="009765A8" w:rsidP="00566883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58" w:right="37" w:hanging="4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252">
              <w:rPr>
                <w:rFonts w:ascii="Arial" w:hAnsi="Arial" w:cs="Arial"/>
                <w:sz w:val="24"/>
                <w:szCs w:val="24"/>
              </w:rPr>
              <w:lastRenderedPageBreak/>
              <w:t>Staffing</w:t>
            </w:r>
            <w:r w:rsidR="003A43C1" w:rsidRPr="00891252">
              <w:rPr>
                <w:rFonts w:ascii="Arial" w:hAnsi="Arial" w:cs="Arial"/>
                <w:sz w:val="24"/>
                <w:szCs w:val="24"/>
              </w:rPr>
              <w:t xml:space="preserve"> matters:</w:t>
            </w:r>
            <w:r w:rsidRPr="008912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E7922CE" w14:textId="5F75A931" w:rsidR="00746937" w:rsidRPr="00891252" w:rsidRDefault="003A43C1" w:rsidP="00566883">
            <w:pPr>
              <w:pStyle w:val="ListParagraph"/>
              <w:numPr>
                <w:ilvl w:val="1"/>
                <w:numId w:val="3"/>
              </w:numPr>
              <w:spacing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91252">
              <w:rPr>
                <w:rFonts w:ascii="Arial" w:hAnsi="Arial" w:cs="Arial"/>
                <w:sz w:val="24"/>
                <w:szCs w:val="24"/>
              </w:rPr>
              <w:t>e</w:t>
            </w:r>
            <w:r w:rsidR="009765A8" w:rsidRPr="00891252">
              <w:rPr>
                <w:rFonts w:ascii="Arial" w:hAnsi="Arial" w:cs="Arial"/>
                <w:sz w:val="24"/>
                <w:szCs w:val="24"/>
              </w:rPr>
              <w:t>stablishment</w:t>
            </w:r>
            <w:r w:rsidR="00746937" w:rsidRPr="00891252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14:paraId="5C376CDB" w14:textId="77777777" w:rsidR="00746937" w:rsidRPr="00891252" w:rsidRDefault="00FB0020" w:rsidP="00566883">
            <w:pPr>
              <w:pStyle w:val="ListParagraph"/>
              <w:numPr>
                <w:ilvl w:val="1"/>
                <w:numId w:val="3"/>
              </w:numPr>
              <w:spacing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91252">
              <w:rPr>
                <w:rFonts w:ascii="Arial" w:hAnsi="Arial" w:cs="Arial"/>
                <w:sz w:val="24"/>
                <w:szCs w:val="24"/>
              </w:rPr>
              <w:t>turnover;</w:t>
            </w:r>
            <w:proofErr w:type="gramEnd"/>
          </w:p>
          <w:p w14:paraId="76573EBF" w14:textId="61CF14F3" w:rsidR="009765A8" w:rsidRDefault="00746937" w:rsidP="00566883">
            <w:pPr>
              <w:pStyle w:val="ListParagraph"/>
              <w:numPr>
                <w:ilvl w:val="1"/>
                <w:numId w:val="3"/>
              </w:numPr>
              <w:spacing w:line="240" w:lineRule="auto"/>
              <w:ind w:right="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252">
              <w:rPr>
                <w:rFonts w:ascii="Arial" w:hAnsi="Arial" w:cs="Arial"/>
                <w:sz w:val="24"/>
                <w:szCs w:val="24"/>
              </w:rPr>
              <w:t>a</w:t>
            </w:r>
            <w:r w:rsidR="009765A8" w:rsidRPr="00891252">
              <w:rPr>
                <w:rFonts w:ascii="Arial" w:hAnsi="Arial" w:cs="Arial"/>
                <w:sz w:val="24"/>
                <w:szCs w:val="24"/>
              </w:rPr>
              <w:t xml:space="preserve">ttendance </w:t>
            </w:r>
            <w:proofErr w:type="gramStart"/>
            <w:r w:rsidR="009765A8" w:rsidRPr="00891252">
              <w:rPr>
                <w:rFonts w:ascii="Arial" w:hAnsi="Arial" w:cs="Arial"/>
                <w:sz w:val="24"/>
                <w:szCs w:val="24"/>
              </w:rPr>
              <w:t>management;</w:t>
            </w:r>
            <w:proofErr w:type="gramEnd"/>
          </w:p>
          <w:p w14:paraId="7CBED8F1" w14:textId="77777777" w:rsidR="007F2D16" w:rsidRPr="00891252" w:rsidRDefault="007F2D16" w:rsidP="00566883">
            <w:pPr>
              <w:pStyle w:val="ListParagraph"/>
              <w:spacing w:line="240" w:lineRule="auto"/>
              <w:ind w:left="1440" w:right="3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D1BD3F" w14:textId="77777777" w:rsidR="00891252" w:rsidRPr="00891252" w:rsidRDefault="00FB0020" w:rsidP="00566883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58" w:right="37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252">
              <w:rPr>
                <w:rFonts w:ascii="Arial" w:hAnsi="Arial" w:cs="Arial"/>
                <w:sz w:val="24"/>
                <w:szCs w:val="24"/>
              </w:rPr>
              <w:t>Im</w:t>
            </w:r>
            <w:r w:rsidR="00A84B1C" w:rsidRPr="00891252">
              <w:rPr>
                <w:rFonts w:ascii="Arial" w:hAnsi="Arial" w:cs="Arial"/>
                <w:sz w:val="24"/>
                <w:szCs w:val="24"/>
              </w:rPr>
              <w:t>plementation of HR policies/</w:t>
            </w:r>
            <w:proofErr w:type="gramStart"/>
            <w:r w:rsidR="00A84B1C" w:rsidRPr="00891252">
              <w:rPr>
                <w:rFonts w:ascii="Arial" w:hAnsi="Arial" w:cs="Arial"/>
                <w:sz w:val="24"/>
                <w:szCs w:val="24"/>
              </w:rPr>
              <w:t>procedures;</w:t>
            </w:r>
            <w:proofErr w:type="gramEnd"/>
          </w:p>
          <w:p w14:paraId="584AD9A8" w14:textId="3D1FCB94" w:rsidR="00791E6B" w:rsidRPr="00891252" w:rsidRDefault="00A54A90" w:rsidP="00566883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58" w:right="37" w:hanging="425"/>
              <w:jc w:val="both"/>
              <w:rPr>
                <w:rFonts w:ascii="Arial" w:hAnsi="Arial" w:cs="Arial"/>
                <w:szCs w:val="24"/>
              </w:rPr>
            </w:pPr>
            <w:r w:rsidRPr="00891252">
              <w:rPr>
                <w:rFonts w:ascii="Arial" w:hAnsi="Arial" w:cs="Arial"/>
                <w:sz w:val="24"/>
                <w:szCs w:val="24"/>
              </w:rPr>
              <w:t>Industrial relationships</w:t>
            </w:r>
          </w:p>
        </w:tc>
      </w:tr>
      <w:tr w:rsidR="00CD05D0" w:rsidRPr="00A90AA3" w14:paraId="40F7DF7C" w14:textId="77777777" w:rsidTr="006D308B">
        <w:trPr>
          <w:gridAfter w:val="2"/>
          <w:wAfter w:w="283" w:type="dxa"/>
          <w:trHeight w:val="1120"/>
        </w:trPr>
        <w:tc>
          <w:tcPr>
            <w:tcW w:w="1134" w:type="dxa"/>
          </w:tcPr>
          <w:p w14:paraId="2B6A90E9" w14:textId="6B5C5628" w:rsidR="003A43C1" w:rsidRPr="00A90AA3" w:rsidRDefault="000E18CA" w:rsidP="000E18CA">
            <w:pPr>
              <w:pStyle w:val="NoSpacing"/>
            </w:pPr>
            <w:r>
              <w:lastRenderedPageBreak/>
              <w:t>2.2</w:t>
            </w:r>
          </w:p>
        </w:tc>
        <w:tc>
          <w:tcPr>
            <w:tcW w:w="8857" w:type="dxa"/>
            <w:gridSpan w:val="2"/>
          </w:tcPr>
          <w:p w14:paraId="351643EF" w14:textId="4F902343" w:rsidR="003A43C1" w:rsidRPr="00A90AA3" w:rsidRDefault="00791E6B" w:rsidP="00566883">
            <w:pPr>
              <w:ind w:right="37"/>
              <w:jc w:val="both"/>
              <w:rPr>
                <w:rFonts w:ascii="Arial" w:hAnsi="Arial" w:cs="Arial"/>
                <w:szCs w:val="24"/>
              </w:rPr>
            </w:pPr>
            <w:r w:rsidRPr="00A90AA3">
              <w:rPr>
                <w:rFonts w:ascii="Arial" w:hAnsi="Arial" w:cs="Arial"/>
                <w:szCs w:val="24"/>
              </w:rPr>
              <w:t>The report will also cover the following non-standard HR matter</w:t>
            </w:r>
            <w:r w:rsidR="00AF0339">
              <w:rPr>
                <w:rFonts w:ascii="Arial" w:hAnsi="Arial" w:cs="Arial"/>
                <w:szCs w:val="24"/>
              </w:rPr>
              <w:t>s</w:t>
            </w:r>
            <w:r w:rsidRPr="00A90AA3">
              <w:rPr>
                <w:rFonts w:ascii="Arial" w:hAnsi="Arial" w:cs="Arial"/>
                <w:szCs w:val="24"/>
              </w:rPr>
              <w:t>:</w:t>
            </w:r>
          </w:p>
          <w:p w14:paraId="4FA88C70" w14:textId="77777777" w:rsidR="009B2B8F" w:rsidRPr="00A90AA3" w:rsidRDefault="009B2B8F" w:rsidP="00566883">
            <w:pPr>
              <w:ind w:right="37"/>
              <w:jc w:val="both"/>
              <w:rPr>
                <w:rFonts w:ascii="Arial" w:hAnsi="Arial" w:cs="Arial"/>
                <w:szCs w:val="24"/>
              </w:rPr>
            </w:pPr>
          </w:p>
          <w:p w14:paraId="57AA15C2" w14:textId="6F1D5B73" w:rsidR="00AF0339" w:rsidRDefault="007D6EEA" w:rsidP="00566883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459" w:right="37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Attendance Management</w:t>
            </w:r>
          </w:p>
          <w:p w14:paraId="09D91734" w14:textId="7A76B8D3" w:rsidR="00DC4440" w:rsidRDefault="006B3920" w:rsidP="00566883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459" w:right="37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Redesign Staffing Impact</w:t>
            </w:r>
          </w:p>
          <w:p w14:paraId="49AC62A8" w14:textId="77777777" w:rsidR="002F78DF" w:rsidRDefault="002F78DF" w:rsidP="00566883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459" w:right="37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Employment of Under</w:t>
            </w:r>
            <w:r w:rsidR="00A07C34">
              <w:rPr>
                <w:rFonts w:ascii="Arial" w:hAnsi="Arial" w:cs="Arial"/>
                <w:sz w:val="24"/>
                <w:szCs w:val="24"/>
              </w:rPr>
              <w:t xml:space="preserve"> 16s Update</w:t>
            </w:r>
          </w:p>
          <w:p w14:paraId="1058AB71" w14:textId="24218CEA" w:rsidR="002C179C" w:rsidRDefault="00E60E7D" w:rsidP="00566883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459" w:right="37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Corporate</w:t>
            </w:r>
            <w:r w:rsidR="004F1D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52B8">
              <w:rPr>
                <w:rFonts w:ascii="Arial" w:hAnsi="Arial" w:cs="Arial"/>
                <w:sz w:val="24"/>
                <w:szCs w:val="24"/>
              </w:rPr>
              <w:t>training</w:t>
            </w:r>
            <w:r w:rsidR="00DF100B">
              <w:rPr>
                <w:rFonts w:ascii="Arial" w:hAnsi="Arial" w:cs="Arial"/>
                <w:sz w:val="24"/>
                <w:szCs w:val="24"/>
              </w:rPr>
              <w:t xml:space="preserve"> update</w:t>
            </w:r>
          </w:p>
          <w:p w14:paraId="3245F5EA" w14:textId="62FAC6E0" w:rsidR="0049578A" w:rsidRPr="00CE6306" w:rsidRDefault="0049578A" w:rsidP="00566883">
            <w:pPr>
              <w:ind w:right="37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E6306" w:rsidRPr="00A90AA3" w14:paraId="4B54BEF5" w14:textId="77777777" w:rsidTr="006D308B">
        <w:trPr>
          <w:gridAfter w:val="2"/>
          <w:wAfter w:w="283" w:type="dxa"/>
        </w:trPr>
        <w:tc>
          <w:tcPr>
            <w:tcW w:w="1134" w:type="dxa"/>
          </w:tcPr>
          <w:p w14:paraId="50A9BD7A" w14:textId="5FA79952" w:rsidR="006D0D6A" w:rsidRPr="000E18CA" w:rsidRDefault="000E18CA" w:rsidP="000E18CA">
            <w:pPr>
              <w:pStyle w:val="NoSpacing"/>
              <w:rPr>
                <w:b/>
                <w:bCs/>
              </w:rPr>
            </w:pPr>
            <w:r w:rsidRPr="000E18CA">
              <w:rPr>
                <w:b/>
                <w:bCs/>
              </w:rPr>
              <w:t>3.</w:t>
            </w:r>
          </w:p>
        </w:tc>
        <w:tc>
          <w:tcPr>
            <w:tcW w:w="8857" w:type="dxa"/>
            <w:gridSpan w:val="2"/>
          </w:tcPr>
          <w:p w14:paraId="1AD6CB3D" w14:textId="4C7CA1DB" w:rsidR="006D0D6A" w:rsidRPr="00A90AA3" w:rsidRDefault="00E72A3A" w:rsidP="00566883">
            <w:pPr>
              <w:pStyle w:val="NoSpacing"/>
              <w:ind w:right="37"/>
              <w:rPr>
                <w:b/>
                <w:bCs/>
              </w:rPr>
            </w:pPr>
            <w:r w:rsidRPr="00A90AA3">
              <w:rPr>
                <w:b/>
                <w:bCs/>
              </w:rPr>
              <w:t>Update</w:t>
            </w:r>
            <w:r w:rsidR="006D0D6A" w:rsidRPr="00A90AA3">
              <w:rPr>
                <w:b/>
                <w:bCs/>
              </w:rPr>
              <w:t xml:space="preserve"> </w:t>
            </w:r>
            <w:r w:rsidR="00782766" w:rsidRPr="00A90AA3">
              <w:rPr>
                <w:b/>
                <w:bCs/>
              </w:rPr>
              <w:t>on standing HR matter</w:t>
            </w:r>
            <w:r w:rsidR="00F80CF1">
              <w:rPr>
                <w:b/>
                <w:bCs/>
              </w:rPr>
              <w:t>s</w:t>
            </w:r>
            <w:r w:rsidRPr="00A90AA3">
              <w:rPr>
                <w:b/>
                <w:bCs/>
              </w:rPr>
              <w:t xml:space="preserve"> </w:t>
            </w:r>
            <w:r w:rsidR="00F50517">
              <w:rPr>
                <w:b/>
                <w:bCs/>
              </w:rPr>
              <w:t>Q</w:t>
            </w:r>
            <w:r w:rsidR="00943DD3">
              <w:rPr>
                <w:b/>
                <w:bCs/>
              </w:rPr>
              <w:t>1</w:t>
            </w:r>
            <w:r w:rsidR="00F50517">
              <w:rPr>
                <w:b/>
                <w:bCs/>
              </w:rPr>
              <w:t xml:space="preserve"> (</w:t>
            </w:r>
            <w:r w:rsidR="00943DD3">
              <w:rPr>
                <w:b/>
                <w:bCs/>
              </w:rPr>
              <w:t xml:space="preserve">April </w:t>
            </w:r>
            <w:r w:rsidR="00633DAA">
              <w:rPr>
                <w:b/>
                <w:bCs/>
              </w:rPr>
              <w:t>–</w:t>
            </w:r>
            <w:r w:rsidR="00943DD3">
              <w:rPr>
                <w:b/>
                <w:bCs/>
              </w:rPr>
              <w:t xml:space="preserve"> June</w:t>
            </w:r>
            <w:r w:rsidR="00C2197A">
              <w:rPr>
                <w:b/>
                <w:bCs/>
              </w:rPr>
              <w:t xml:space="preserve"> 2023</w:t>
            </w:r>
            <w:r w:rsidR="00F50517">
              <w:rPr>
                <w:b/>
                <w:bCs/>
              </w:rPr>
              <w:t>)</w:t>
            </w:r>
          </w:p>
          <w:p w14:paraId="3D3F9570" w14:textId="77777777" w:rsidR="006D0D6A" w:rsidRPr="00A90AA3" w:rsidRDefault="006D0D6A" w:rsidP="00566883">
            <w:pPr>
              <w:pStyle w:val="NoSpacing"/>
              <w:ind w:right="37"/>
              <w:rPr>
                <w:b/>
                <w:bCs/>
              </w:rPr>
            </w:pPr>
          </w:p>
        </w:tc>
      </w:tr>
      <w:tr w:rsidR="00CE6306" w:rsidRPr="00A90AA3" w14:paraId="3AAC68DE" w14:textId="77777777" w:rsidTr="006D308B">
        <w:trPr>
          <w:gridAfter w:val="2"/>
          <w:wAfter w:w="283" w:type="dxa"/>
        </w:trPr>
        <w:tc>
          <w:tcPr>
            <w:tcW w:w="1134" w:type="dxa"/>
          </w:tcPr>
          <w:p w14:paraId="0D2E8B9B" w14:textId="72573105" w:rsidR="006D0D6A" w:rsidRPr="00A90AA3" w:rsidRDefault="000E18CA" w:rsidP="000E18CA">
            <w:pPr>
              <w:pStyle w:val="NoSpacing"/>
              <w:ind w:right="-243"/>
            </w:pPr>
            <w:r>
              <w:t>3.1</w:t>
            </w:r>
          </w:p>
        </w:tc>
        <w:tc>
          <w:tcPr>
            <w:tcW w:w="8857" w:type="dxa"/>
            <w:gridSpan w:val="2"/>
          </w:tcPr>
          <w:p w14:paraId="0B1ED35C" w14:textId="4E1C8A1C" w:rsidR="006D0D6A" w:rsidRPr="00A90AA3" w:rsidRDefault="00F662ED" w:rsidP="00566883">
            <w:pPr>
              <w:ind w:right="37"/>
              <w:jc w:val="both"/>
              <w:rPr>
                <w:rFonts w:ascii="Arial" w:hAnsi="Arial" w:cs="Arial"/>
                <w:szCs w:val="24"/>
              </w:rPr>
            </w:pPr>
            <w:r w:rsidRPr="00A90AA3">
              <w:rPr>
                <w:rFonts w:ascii="Arial" w:hAnsi="Arial" w:cs="Arial"/>
                <w:szCs w:val="24"/>
                <w:u w:val="single"/>
              </w:rPr>
              <w:t>Staffing matters</w:t>
            </w:r>
            <w:r w:rsidR="00EF4209" w:rsidRPr="00A90AA3">
              <w:rPr>
                <w:rFonts w:ascii="Arial" w:hAnsi="Arial" w:cs="Arial"/>
                <w:szCs w:val="24"/>
                <w:u w:val="single"/>
              </w:rPr>
              <w:t xml:space="preserve"> – establishment</w:t>
            </w:r>
          </w:p>
          <w:p w14:paraId="4DAE818A" w14:textId="547E44B6" w:rsidR="00EF4209" w:rsidRPr="00A90AA3" w:rsidRDefault="00EF4209" w:rsidP="00566883">
            <w:pPr>
              <w:ind w:right="37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E6306" w:rsidRPr="00A90AA3" w14:paraId="25E2C41F" w14:textId="77777777" w:rsidTr="006D308B">
        <w:trPr>
          <w:gridAfter w:val="2"/>
          <w:wAfter w:w="283" w:type="dxa"/>
        </w:trPr>
        <w:tc>
          <w:tcPr>
            <w:tcW w:w="1134" w:type="dxa"/>
          </w:tcPr>
          <w:p w14:paraId="4EE20392" w14:textId="5EEB133B" w:rsidR="00EF4209" w:rsidRPr="00A90AA3" w:rsidRDefault="000E18CA" w:rsidP="000E18CA">
            <w:pPr>
              <w:pStyle w:val="NoSpacing"/>
              <w:ind w:left="720" w:hanging="683"/>
            </w:pPr>
            <w:r>
              <w:t>3.1.1</w:t>
            </w:r>
          </w:p>
        </w:tc>
        <w:tc>
          <w:tcPr>
            <w:tcW w:w="8857" w:type="dxa"/>
            <w:gridSpan w:val="2"/>
          </w:tcPr>
          <w:p w14:paraId="09DD75D1" w14:textId="3F2BB6C4" w:rsidR="00EF4209" w:rsidRPr="00A90AA3" w:rsidRDefault="00EE3EB9" w:rsidP="00566883">
            <w:pPr>
              <w:ind w:right="37"/>
              <w:jc w:val="both"/>
              <w:rPr>
                <w:rFonts w:ascii="Arial" w:hAnsi="Arial" w:cs="Arial"/>
                <w:szCs w:val="24"/>
              </w:rPr>
            </w:pPr>
            <w:r w:rsidRPr="00A90AA3">
              <w:rPr>
                <w:rFonts w:ascii="Arial" w:hAnsi="Arial" w:cs="Arial"/>
                <w:szCs w:val="24"/>
              </w:rPr>
              <w:t xml:space="preserve">Changes to the charity’s staffing establishment = </w:t>
            </w:r>
            <w:r w:rsidR="00496B84">
              <w:rPr>
                <w:rFonts w:ascii="Arial" w:hAnsi="Arial" w:cs="Arial"/>
                <w:szCs w:val="24"/>
              </w:rPr>
              <w:t>8.88</w:t>
            </w:r>
            <w:r w:rsidR="00E81A13">
              <w:rPr>
                <w:rFonts w:ascii="Arial" w:hAnsi="Arial" w:cs="Arial"/>
                <w:szCs w:val="24"/>
              </w:rPr>
              <w:t xml:space="preserve"> </w:t>
            </w:r>
            <w:r w:rsidR="00DA3DEC">
              <w:rPr>
                <w:rFonts w:ascii="Arial" w:hAnsi="Arial" w:cs="Arial"/>
                <w:szCs w:val="24"/>
              </w:rPr>
              <w:t>(</w:t>
            </w:r>
            <w:r w:rsidR="00DA3DEC" w:rsidRPr="00E55373">
              <w:rPr>
                <w:rFonts w:ascii="Arial" w:hAnsi="Arial" w:cs="Arial"/>
                <w:b/>
                <w:bCs/>
                <w:szCs w:val="24"/>
              </w:rPr>
              <w:t>Appendix A</w:t>
            </w:r>
            <w:r w:rsidR="00DA3DEC">
              <w:rPr>
                <w:rFonts w:ascii="Arial" w:hAnsi="Arial" w:cs="Arial"/>
                <w:szCs w:val="24"/>
              </w:rPr>
              <w:t>)</w:t>
            </w:r>
          </w:p>
          <w:p w14:paraId="4FAFC9EF" w14:textId="4DD1EF7D" w:rsidR="007D5F47" w:rsidRPr="00A90AA3" w:rsidRDefault="007D5F47" w:rsidP="00566883">
            <w:pPr>
              <w:ind w:right="37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E6306" w:rsidRPr="00A90AA3" w14:paraId="63B1C652" w14:textId="77777777" w:rsidTr="006D308B">
        <w:trPr>
          <w:gridAfter w:val="2"/>
          <w:wAfter w:w="283" w:type="dxa"/>
        </w:trPr>
        <w:tc>
          <w:tcPr>
            <w:tcW w:w="1134" w:type="dxa"/>
          </w:tcPr>
          <w:p w14:paraId="42A6F98D" w14:textId="575FEDB6" w:rsidR="007D5F47" w:rsidRPr="00A90AA3" w:rsidRDefault="000E18CA" w:rsidP="000E18CA">
            <w:pPr>
              <w:pStyle w:val="NoSpacing"/>
              <w:ind w:left="720" w:hanging="720"/>
            </w:pPr>
            <w:r>
              <w:t>3.1.2</w:t>
            </w:r>
          </w:p>
        </w:tc>
        <w:tc>
          <w:tcPr>
            <w:tcW w:w="8857" w:type="dxa"/>
            <w:gridSpan w:val="2"/>
          </w:tcPr>
          <w:p w14:paraId="0DBB320E" w14:textId="4478BAE2" w:rsidR="00F50517" w:rsidRDefault="5914FB93" w:rsidP="00566883">
            <w:pPr>
              <w:ind w:right="37"/>
              <w:jc w:val="both"/>
              <w:rPr>
                <w:rFonts w:ascii="Arial" w:hAnsi="Arial" w:cs="Arial"/>
              </w:rPr>
            </w:pPr>
            <w:r w:rsidRPr="057B8305">
              <w:rPr>
                <w:rFonts w:ascii="Arial" w:hAnsi="Arial" w:cs="Arial"/>
              </w:rPr>
              <w:t xml:space="preserve">Quarter </w:t>
            </w:r>
            <w:r w:rsidR="008C5460">
              <w:rPr>
                <w:rFonts w:ascii="Arial" w:hAnsi="Arial" w:cs="Arial"/>
              </w:rPr>
              <w:t>1</w:t>
            </w:r>
            <w:r w:rsidRPr="057B8305">
              <w:rPr>
                <w:rFonts w:ascii="Arial" w:hAnsi="Arial" w:cs="Arial"/>
              </w:rPr>
              <w:t>(202</w:t>
            </w:r>
            <w:r w:rsidR="008C5460">
              <w:rPr>
                <w:rFonts w:ascii="Arial" w:hAnsi="Arial" w:cs="Arial"/>
              </w:rPr>
              <w:t>3</w:t>
            </w:r>
            <w:r w:rsidRPr="057B8305">
              <w:rPr>
                <w:rFonts w:ascii="Arial" w:hAnsi="Arial" w:cs="Arial"/>
              </w:rPr>
              <w:t>/2</w:t>
            </w:r>
            <w:r w:rsidR="008C5460">
              <w:rPr>
                <w:rFonts w:ascii="Arial" w:hAnsi="Arial" w:cs="Arial"/>
              </w:rPr>
              <w:t>4</w:t>
            </w:r>
            <w:r w:rsidRPr="057B8305">
              <w:rPr>
                <w:rFonts w:ascii="Arial" w:hAnsi="Arial" w:cs="Arial"/>
              </w:rPr>
              <w:t xml:space="preserve">) establishment = </w:t>
            </w:r>
            <w:r w:rsidR="000625D1">
              <w:rPr>
                <w:rFonts w:ascii="Arial" w:hAnsi="Arial" w:cs="Arial"/>
              </w:rPr>
              <w:t xml:space="preserve">846.53 </w:t>
            </w:r>
            <w:r w:rsidRPr="057B8305">
              <w:rPr>
                <w:rFonts w:ascii="Arial" w:hAnsi="Arial" w:cs="Arial"/>
              </w:rPr>
              <w:t>FTE</w:t>
            </w:r>
          </w:p>
          <w:p w14:paraId="1029218F" w14:textId="52DC23FB" w:rsidR="007D5F47" w:rsidRDefault="7376FC26" w:rsidP="00566883">
            <w:pPr>
              <w:ind w:right="37"/>
              <w:jc w:val="both"/>
              <w:rPr>
                <w:rFonts w:ascii="Arial" w:hAnsi="Arial" w:cs="Arial"/>
              </w:rPr>
            </w:pPr>
            <w:r w:rsidRPr="057B8305">
              <w:rPr>
                <w:rFonts w:ascii="Arial" w:hAnsi="Arial" w:cs="Arial"/>
              </w:rPr>
              <w:t>Quarter</w:t>
            </w:r>
            <w:r w:rsidR="435A67ED" w:rsidRPr="057B8305">
              <w:rPr>
                <w:rFonts w:ascii="Arial" w:hAnsi="Arial" w:cs="Arial"/>
              </w:rPr>
              <w:t xml:space="preserve"> </w:t>
            </w:r>
            <w:r w:rsidR="008C5460">
              <w:rPr>
                <w:rFonts w:ascii="Arial" w:hAnsi="Arial" w:cs="Arial"/>
              </w:rPr>
              <w:t>4</w:t>
            </w:r>
            <w:r w:rsidR="190D545D" w:rsidRPr="057B8305">
              <w:rPr>
                <w:rFonts w:ascii="Arial" w:hAnsi="Arial" w:cs="Arial"/>
              </w:rPr>
              <w:t>(2022/23)</w:t>
            </w:r>
            <w:r w:rsidRPr="057B8305">
              <w:rPr>
                <w:rFonts w:ascii="Arial" w:hAnsi="Arial" w:cs="Arial"/>
              </w:rPr>
              <w:t xml:space="preserve"> establishment = </w:t>
            </w:r>
            <w:r w:rsidR="008C5460">
              <w:rPr>
                <w:rFonts w:ascii="Arial" w:hAnsi="Arial" w:cs="Arial"/>
              </w:rPr>
              <w:t>837.65</w:t>
            </w:r>
            <w:r w:rsidR="48B7F8B9" w:rsidRPr="057B8305">
              <w:rPr>
                <w:rFonts w:ascii="Arial" w:hAnsi="Arial" w:cs="Arial"/>
              </w:rPr>
              <w:t xml:space="preserve"> </w:t>
            </w:r>
            <w:r w:rsidR="190D545D" w:rsidRPr="057B8305">
              <w:rPr>
                <w:rFonts w:ascii="Arial" w:hAnsi="Arial" w:cs="Arial"/>
              </w:rPr>
              <w:t>FTE</w:t>
            </w:r>
          </w:p>
          <w:p w14:paraId="1AC070BD" w14:textId="28318E34" w:rsidR="00193FE5" w:rsidRPr="00A90AA3" w:rsidRDefault="00193FE5" w:rsidP="00566883">
            <w:pPr>
              <w:ind w:right="37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E6306" w:rsidRPr="00A90AA3" w14:paraId="26CAB48B" w14:textId="77777777" w:rsidTr="006D308B">
        <w:trPr>
          <w:gridAfter w:val="2"/>
          <w:wAfter w:w="283" w:type="dxa"/>
        </w:trPr>
        <w:tc>
          <w:tcPr>
            <w:tcW w:w="1134" w:type="dxa"/>
          </w:tcPr>
          <w:p w14:paraId="05891CBB" w14:textId="77777777" w:rsidR="00D47262" w:rsidRDefault="000E18CA" w:rsidP="000E18CA">
            <w:pPr>
              <w:pStyle w:val="NoSpacing"/>
              <w:ind w:left="720" w:hanging="720"/>
            </w:pPr>
            <w:r>
              <w:t>3.1.3</w:t>
            </w:r>
          </w:p>
          <w:p w14:paraId="7B7CD5A2" w14:textId="77777777" w:rsidR="004277D0" w:rsidRDefault="004277D0" w:rsidP="000E18CA">
            <w:pPr>
              <w:pStyle w:val="NoSpacing"/>
              <w:ind w:left="720" w:hanging="720"/>
            </w:pPr>
          </w:p>
          <w:p w14:paraId="05BEDCFF" w14:textId="77777777" w:rsidR="004277D0" w:rsidRDefault="004277D0" w:rsidP="000E18CA">
            <w:pPr>
              <w:pStyle w:val="NoSpacing"/>
              <w:ind w:left="720" w:hanging="720"/>
            </w:pPr>
          </w:p>
          <w:p w14:paraId="1BAC9B89" w14:textId="77777777" w:rsidR="004277D0" w:rsidRDefault="004277D0" w:rsidP="000E18CA">
            <w:pPr>
              <w:pStyle w:val="NoSpacing"/>
              <w:ind w:left="720" w:hanging="720"/>
            </w:pPr>
          </w:p>
          <w:p w14:paraId="3585C60A" w14:textId="77777777" w:rsidR="004277D0" w:rsidRDefault="004277D0" w:rsidP="000E18CA">
            <w:pPr>
              <w:pStyle w:val="NoSpacing"/>
              <w:ind w:left="720" w:hanging="720"/>
            </w:pPr>
          </w:p>
          <w:p w14:paraId="32647D66" w14:textId="4E0EDD00" w:rsidR="00D47262" w:rsidRPr="00A90AA3" w:rsidRDefault="004277D0" w:rsidP="000E18CA">
            <w:pPr>
              <w:pStyle w:val="NoSpacing"/>
              <w:ind w:left="720" w:hanging="720"/>
            </w:pPr>
            <w:r>
              <w:t>3.1.4</w:t>
            </w:r>
          </w:p>
        </w:tc>
        <w:tc>
          <w:tcPr>
            <w:tcW w:w="8857" w:type="dxa"/>
            <w:gridSpan w:val="2"/>
          </w:tcPr>
          <w:p w14:paraId="671C7C38" w14:textId="77777777" w:rsidR="000C1B9F" w:rsidRDefault="2007A2F4" w:rsidP="00566883">
            <w:pPr>
              <w:ind w:right="37"/>
              <w:jc w:val="both"/>
              <w:rPr>
                <w:rFonts w:ascii="Arial" w:hAnsi="Arial" w:cs="Arial"/>
              </w:rPr>
            </w:pPr>
            <w:r w:rsidRPr="057B8305">
              <w:rPr>
                <w:rFonts w:ascii="Arial" w:hAnsi="Arial" w:cs="Arial"/>
              </w:rPr>
              <w:t xml:space="preserve">Whilst there </w:t>
            </w:r>
            <w:r w:rsidR="58CDCE18" w:rsidRPr="057B8305">
              <w:rPr>
                <w:rFonts w:ascii="Arial" w:hAnsi="Arial" w:cs="Arial"/>
              </w:rPr>
              <w:t>has been</w:t>
            </w:r>
            <w:r w:rsidR="00E25410">
              <w:rPr>
                <w:rFonts w:ascii="Arial" w:hAnsi="Arial" w:cs="Arial"/>
              </w:rPr>
              <w:t xml:space="preserve"> a</w:t>
            </w:r>
            <w:r w:rsidR="00242AB9">
              <w:rPr>
                <w:rFonts w:ascii="Arial" w:hAnsi="Arial" w:cs="Arial"/>
              </w:rPr>
              <w:t>n</w:t>
            </w:r>
            <w:r w:rsidR="58CDCE18" w:rsidRPr="057B8305">
              <w:rPr>
                <w:rFonts w:ascii="Arial" w:hAnsi="Arial" w:cs="Arial"/>
              </w:rPr>
              <w:t xml:space="preserve"> </w:t>
            </w:r>
            <w:r w:rsidR="00242AB9">
              <w:rPr>
                <w:rFonts w:ascii="Arial" w:hAnsi="Arial" w:cs="Arial"/>
              </w:rPr>
              <w:t>increase</w:t>
            </w:r>
            <w:r w:rsidR="58CDCE18" w:rsidRPr="057B8305">
              <w:rPr>
                <w:rFonts w:ascii="Arial" w:hAnsi="Arial" w:cs="Arial"/>
              </w:rPr>
              <w:t xml:space="preserve"> to the </w:t>
            </w:r>
            <w:r w:rsidR="1FED30D1" w:rsidRPr="057B8305">
              <w:rPr>
                <w:rFonts w:ascii="Arial" w:hAnsi="Arial" w:cs="Arial"/>
              </w:rPr>
              <w:t xml:space="preserve">overall </w:t>
            </w:r>
            <w:r w:rsidR="58CDCE18" w:rsidRPr="057B8305">
              <w:rPr>
                <w:rFonts w:ascii="Arial" w:hAnsi="Arial" w:cs="Arial"/>
              </w:rPr>
              <w:t>staffing establishment</w:t>
            </w:r>
            <w:r w:rsidR="1FED30D1" w:rsidRPr="057B8305">
              <w:rPr>
                <w:rFonts w:ascii="Arial" w:hAnsi="Arial" w:cs="Arial"/>
              </w:rPr>
              <w:t xml:space="preserve"> there have been </w:t>
            </w:r>
            <w:r w:rsidR="0C6D42B2" w:rsidRPr="057B8305">
              <w:rPr>
                <w:rFonts w:ascii="Arial" w:hAnsi="Arial" w:cs="Arial"/>
              </w:rPr>
              <w:t>several</w:t>
            </w:r>
            <w:r w:rsidR="1FED30D1" w:rsidRPr="057B8305">
              <w:rPr>
                <w:rFonts w:ascii="Arial" w:hAnsi="Arial" w:cs="Arial"/>
              </w:rPr>
              <w:t xml:space="preserve"> newly created fixed term posts</w:t>
            </w:r>
            <w:r w:rsidR="5BF5BADD" w:rsidRPr="057B8305">
              <w:rPr>
                <w:rFonts w:ascii="Arial" w:hAnsi="Arial" w:cs="Arial"/>
              </w:rPr>
              <w:t xml:space="preserve">, which are fully funded within </w:t>
            </w:r>
            <w:r w:rsidR="65BD84E7" w:rsidRPr="057B8305">
              <w:rPr>
                <w:rFonts w:ascii="Arial" w:hAnsi="Arial" w:cs="Arial"/>
              </w:rPr>
              <w:t xml:space="preserve">Adult, </w:t>
            </w:r>
            <w:proofErr w:type="gramStart"/>
            <w:r w:rsidR="00242AB9">
              <w:rPr>
                <w:rFonts w:ascii="Arial" w:hAnsi="Arial" w:cs="Arial"/>
              </w:rPr>
              <w:t>Sport</w:t>
            </w:r>
            <w:proofErr w:type="gramEnd"/>
            <w:r w:rsidR="009764B4">
              <w:rPr>
                <w:rFonts w:ascii="Arial" w:hAnsi="Arial" w:cs="Arial"/>
              </w:rPr>
              <w:t xml:space="preserve"> and</w:t>
            </w:r>
            <w:r w:rsidR="00242AB9">
              <w:rPr>
                <w:rFonts w:ascii="Arial" w:hAnsi="Arial" w:cs="Arial"/>
              </w:rPr>
              <w:t xml:space="preserve"> </w:t>
            </w:r>
            <w:r w:rsidR="65BD84E7" w:rsidRPr="057B8305">
              <w:rPr>
                <w:rFonts w:ascii="Arial" w:hAnsi="Arial" w:cs="Arial"/>
              </w:rPr>
              <w:t>Youth</w:t>
            </w:r>
            <w:r w:rsidR="5BF5BADD" w:rsidRPr="057B8305">
              <w:rPr>
                <w:rFonts w:ascii="Arial" w:hAnsi="Arial" w:cs="Arial"/>
              </w:rPr>
              <w:t xml:space="preserve"> Services</w:t>
            </w:r>
            <w:r w:rsidR="009764B4">
              <w:rPr>
                <w:rFonts w:ascii="Arial" w:hAnsi="Arial" w:cs="Arial"/>
              </w:rPr>
              <w:t xml:space="preserve"> in particular</w:t>
            </w:r>
            <w:r w:rsidR="65BD84E7" w:rsidRPr="057B8305">
              <w:rPr>
                <w:rFonts w:ascii="Arial" w:hAnsi="Arial" w:cs="Arial"/>
              </w:rPr>
              <w:t xml:space="preserve"> but also the deletion of </w:t>
            </w:r>
            <w:r w:rsidR="6E6C8920" w:rsidRPr="057B8305">
              <w:rPr>
                <w:rFonts w:ascii="Arial" w:hAnsi="Arial" w:cs="Arial"/>
              </w:rPr>
              <w:t>several</w:t>
            </w:r>
            <w:r w:rsidRPr="057B8305">
              <w:rPr>
                <w:rFonts w:ascii="Arial" w:hAnsi="Arial" w:cs="Arial"/>
              </w:rPr>
              <w:t xml:space="preserve"> </w:t>
            </w:r>
            <w:r w:rsidR="009764B4">
              <w:rPr>
                <w:rFonts w:ascii="Arial" w:hAnsi="Arial" w:cs="Arial"/>
              </w:rPr>
              <w:t>posts within Leisure services as a result of staffing restructure</w:t>
            </w:r>
            <w:r w:rsidR="00814550">
              <w:rPr>
                <w:rFonts w:ascii="Arial" w:hAnsi="Arial" w:cs="Arial"/>
              </w:rPr>
              <w:t>s within a number of facilities.</w:t>
            </w:r>
            <w:r w:rsidR="65BD84E7" w:rsidRPr="057B8305">
              <w:rPr>
                <w:rFonts w:ascii="Arial" w:hAnsi="Arial" w:cs="Arial"/>
              </w:rPr>
              <w:t xml:space="preserve"> </w:t>
            </w:r>
          </w:p>
          <w:p w14:paraId="42DFE848" w14:textId="77777777" w:rsidR="008733BB" w:rsidRDefault="008733BB" w:rsidP="00566883">
            <w:pPr>
              <w:ind w:right="37"/>
              <w:jc w:val="both"/>
              <w:rPr>
                <w:rFonts w:ascii="Arial" w:hAnsi="Arial" w:cs="Arial"/>
              </w:rPr>
            </w:pPr>
          </w:p>
          <w:p w14:paraId="5EFBF131" w14:textId="280D0457" w:rsidR="008733BB" w:rsidRDefault="008733BB" w:rsidP="00566883">
            <w:pPr>
              <w:ind w:right="3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7D6EEA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 xml:space="preserve">oard should note that a review exercise is currently being undertaken </w:t>
            </w:r>
            <w:r w:rsidR="002F7264">
              <w:rPr>
                <w:rFonts w:ascii="Arial" w:hAnsi="Arial" w:cs="Arial"/>
              </w:rPr>
              <w:t>jointly between HR</w:t>
            </w:r>
            <w:r w:rsidR="00C7111C">
              <w:rPr>
                <w:rFonts w:ascii="Arial" w:hAnsi="Arial" w:cs="Arial"/>
              </w:rPr>
              <w:t xml:space="preserve"> and Finance to cleanse the </w:t>
            </w:r>
            <w:r w:rsidR="00CE375A">
              <w:rPr>
                <w:rFonts w:ascii="Arial" w:hAnsi="Arial" w:cs="Arial"/>
              </w:rPr>
              <w:t>staff establishment database</w:t>
            </w:r>
            <w:r w:rsidR="008A0746">
              <w:rPr>
                <w:rFonts w:ascii="Arial" w:hAnsi="Arial" w:cs="Arial"/>
              </w:rPr>
              <w:t xml:space="preserve">, </w:t>
            </w:r>
            <w:r w:rsidR="003D55F7">
              <w:rPr>
                <w:rFonts w:ascii="Arial" w:hAnsi="Arial" w:cs="Arial"/>
              </w:rPr>
              <w:t xml:space="preserve">to </w:t>
            </w:r>
            <w:r w:rsidR="008A0746">
              <w:rPr>
                <w:rFonts w:ascii="Arial" w:hAnsi="Arial" w:cs="Arial"/>
              </w:rPr>
              <w:t>creat</w:t>
            </w:r>
            <w:r w:rsidR="003D55F7">
              <w:rPr>
                <w:rFonts w:ascii="Arial" w:hAnsi="Arial" w:cs="Arial"/>
              </w:rPr>
              <w:t>e</w:t>
            </w:r>
            <w:r w:rsidR="008A0746">
              <w:rPr>
                <w:rFonts w:ascii="Arial" w:hAnsi="Arial" w:cs="Arial"/>
              </w:rPr>
              <w:t xml:space="preserve"> a new and updated version of </w:t>
            </w:r>
            <w:r w:rsidR="00CC60BA">
              <w:rPr>
                <w:rFonts w:ascii="Arial" w:hAnsi="Arial" w:cs="Arial"/>
              </w:rPr>
              <w:t>data</w:t>
            </w:r>
            <w:r w:rsidR="00777DC7">
              <w:rPr>
                <w:rFonts w:ascii="Arial" w:hAnsi="Arial" w:cs="Arial"/>
              </w:rPr>
              <w:t>.</w:t>
            </w:r>
          </w:p>
          <w:p w14:paraId="542B939C" w14:textId="61CB6FCE" w:rsidR="00814550" w:rsidRPr="00B0073F" w:rsidRDefault="00814550" w:rsidP="00566883">
            <w:pPr>
              <w:ind w:right="37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E6306" w:rsidRPr="00A90AA3" w14:paraId="65186E86" w14:textId="77777777" w:rsidTr="006D308B">
        <w:trPr>
          <w:gridAfter w:val="2"/>
          <w:wAfter w:w="283" w:type="dxa"/>
        </w:trPr>
        <w:tc>
          <w:tcPr>
            <w:tcW w:w="1134" w:type="dxa"/>
          </w:tcPr>
          <w:p w14:paraId="31CA7A2B" w14:textId="564EEEDE" w:rsidR="00130A7A" w:rsidRPr="00A90AA3" w:rsidRDefault="00E55373" w:rsidP="000E18CA">
            <w:pPr>
              <w:pStyle w:val="NoSpacing"/>
              <w:ind w:left="792" w:hanging="792"/>
            </w:pPr>
            <w:r>
              <w:t>3.2</w:t>
            </w:r>
          </w:p>
        </w:tc>
        <w:tc>
          <w:tcPr>
            <w:tcW w:w="8857" w:type="dxa"/>
            <w:gridSpan w:val="2"/>
          </w:tcPr>
          <w:p w14:paraId="761B363A" w14:textId="42CB2C98" w:rsidR="00130A7A" w:rsidRDefault="00DF00B6" w:rsidP="00566883">
            <w:pPr>
              <w:ind w:right="37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u w:val="single"/>
              </w:rPr>
              <w:t>Staffing matters – turnover</w:t>
            </w:r>
          </w:p>
          <w:p w14:paraId="3FBD8808" w14:textId="7259B254" w:rsidR="00DF00B6" w:rsidRPr="00DF00B6" w:rsidRDefault="00DF00B6" w:rsidP="00566883">
            <w:pPr>
              <w:ind w:right="37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E6306" w:rsidRPr="00A90AA3" w14:paraId="5794D4C1" w14:textId="77777777" w:rsidTr="006D308B">
        <w:trPr>
          <w:gridAfter w:val="2"/>
          <w:wAfter w:w="283" w:type="dxa"/>
        </w:trPr>
        <w:tc>
          <w:tcPr>
            <w:tcW w:w="1134" w:type="dxa"/>
          </w:tcPr>
          <w:p w14:paraId="21C5979A" w14:textId="5F68FAF7" w:rsidR="00644777" w:rsidRPr="00A90AA3" w:rsidRDefault="00E55373" w:rsidP="000E18CA">
            <w:pPr>
              <w:pStyle w:val="NoSpacing"/>
              <w:ind w:left="720" w:hanging="720"/>
            </w:pPr>
            <w:r>
              <w:t>3.2.</w:t>
            </w:r>
            <w:r w:rsidR="00DF3ED7">
              <w:t>1</w:t>
            </w:r>
          </w:p>
        </w:tc>
        <w:tc>
          <w:tcPr>
            <w:tcW w:w="8857" w:type="dxa"/>
            <w:gridSpan w:val="2"/>
          </w:tcPr>
          <w:p w14:paraId="0A03B053" w14:textId="0CFEE4F8" w:rsidR="00E5383A" w:rsidRPr="003525C5" w:rsidRDefault="00644777" w:rsidP="00566883">
            <w:pPr>
              <w:ind w:right="37"/>
              <w:jc w:val="both"/>
              <w:rPr>
                <w:rFonts w:ascii="Arial" w:hAnsi="Arial" w:cs="Arial"/>
                <w:szCs w:val="24"/>
              </w:rPr>
            </w:pPr>
            <w:r w:rsidRPr="003525C5">
              <w:rPr>
                <w:rFonts w:ascii="Arial" w:hAnsi="Arial" w:cs="Arial"/>
                <w:szCs w:val="24"/>
              </w:rPr>
              <w:t>The number of resignations</w:t>
            </w:r>
            <w:r w:rsidR="00E5383A" w:rsidRPr="003525C5">
              <w:rPr>
                <w:rFonts w:ascii="Arial" w:hAnsi="Arial" w:cs="Arial"/>
                <w:szCs w:val="24"/>
              </w:rPr>
              <w:t xml:space="preserve"> as a percentage of posts</w:t>
            </w:r>
            <w:r w:rsidR="006E4CB1">
              <w:rPr>
                <w:rFonts w:ascii="Arial" w:hAnsi="Arial" w:cs="Arial"/>
                <w:szCs w:val="24"/>
              </w:rPr>
              <w:t xml:space="preserve"> (number in brackets denotes the number of individual resignations)</w:t>
            </w:r>
            <w:r w:rsidRPr="003525C5">
              <w:rPr>
                <w:rFonts w:ascii="Arial" w:hAnsi="Arial" w:cs="Arial"/>
                <w:szCs w:val="24"/>
              </w:rPr>
              <w:t xml:space="preserve"> </w:t>
            </w:r>
            <w:r w:rsidR="00E5383A" w:rsidRPr="003525C5">
              <w:rPr>
                <w:rFonts w:ascii="Arial" w:hAnsi="Arial" w:cs="Arial"/>
                <w:szCs w:val="24"/>
              </w:rPr>
              <w:t>during</w:t>
            </w:r>
            <w:r w:rsidR="006E4CB1">
              <w:rPr>
                <w:rFonts w:ascii="Arial" w:hAnsi="Arial" w:cs="Arial"/>
                <w:szCs w:val="24"/>
              </w:rPr>
              <w:t xml:space="preserve"> the quarter</w:t>
            </w:r>
            <w:r w:rsidR="00E5383A" w:rsidRPr="003525C5">
              <w:rPr>
                <w:rFonts w:ascii="Arial" w:hAnsi="Arial" w:cs="Arial"/>
                <w:szCs w:val="24"/>
              </w:rPr>
              <w:t xml:space="preserve"> was:</w:t>
            </w:r>
          </w:p>
          <w:p w14:paraId="14E9122E" w14:textId="77777777" w:rsidR="00E5383A" w:rsidRPr="003525C5" w:rsidRDefault="00E5383A" w:rsidP="00566883">
            <w:pPr>
              <w:ind w:right="37"/>
              <w:jc w:val="both"/>
              <w:rPr>
                <w:rFonts w:ascii="Arial" w:hAnsi="Arial" w:cs="Arial"/>
                <w:szCs w:val="24"/>
              </w:rPr>
            </w:pPr>
          </w:p>
          <w:p w14:paraId="1798C370" w14:textId="17D45494" w:rsidR="00373F17" w:rsidRPr="00F54564" w:rsidRDefault="00BA72E3" w:rsidP="0056688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714" w:right="3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January</w:t>
            </w:r>
            <w:r w:rsidR="003729B7" w:rsidRPr="00F545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3F17" w:rsidRPr="00F54564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="00EE047B">
              <w:rPr>
                <w:rFonts w:ascii="Arial" w:hAnsi="Arial" w:cs="Arial"/>
                <w:sz w:val="24"/>
                <w:szCs w:val="24"/>
              </w:rPr>
              <w:t>1.5</w:t>
            </w:r>
            <w:r w:rsidR="002C0D11">
              <w:rPr>
                <w:rFonts w:ascii="Arial" w:hAnsi="Arial" w:cs="Arial"/>
                <w:sz w:val="24"/>
                <w:szCs w:val="24"/>
              </w:rPr>
              <w:t>% (</w:t>
            </w:r>
            <w:r w:rsidR="005A657C">
              <w:rPr>
                <w:rFonts w:ascii="Arial" w:hAnsi="Arial" w:cs="Arial"/>
                <w:sz w:val="24"/>
                <w:szCs w:val="24"/>
              </w:rPr>
              <w:t>15)</w:t>
            </w:r>
          </w:p>
          <w:p w14:paraId="5D04A617" w14:textId="47BD6D55" w:rsidR="00373F17" w:rsidRPr="00F54564" w:rsidRDefault="00BA72E3" w:rsidP="0056688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714" w:right="3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</w:t>
            </w:r>
            <w:r w:rsidR="003729B7" w:rsidRPr="00F545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3F17" w:rsidRPr="00F54564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="002C0D11">
              <w:rPr>
                <w:rFonts w:ascii="Arial" w:hAnsi="Arial" w:cs="Arial"/>
                <w:sz w:val="24"/>
                <w:szCs w:val="24"/>
              </w:rPr>
              <w:t>0.9% (</w:t>
            </w:r>
            <w:r w:rsidR="005A657C">
              <w:rPr>
                <w:rFonts w:ascii="Arial" w:hAnsi="Arial" w:cs="Arial"/>
                <w:sz w:val="24"/>
                <w:szCs w:val="24"/>
              </w:rPr>
              <w:t>9)</w:t>
            </w:r>
          </w:p>
          <w:p w14:paraId="3455B887" w14:textId="49183F3A" w:rsidR="00AA7491" w:rsidRPr="00132BFC" w:rsidRDefault="00BA72E3" w:rsidP="0056688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714" w:right="3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</w:t>
            </w:r>
            <w:r w:rsidR="003729B7" w:rsidRPr="00F545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3F17" w:rsidRPr="00F54564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="002C0D11">
              <w:rPr>
                <w:rFonts w:ascii="Arial" w:hAnsi="Arial" w:cs="Arial"/>
                <w:sz w:val="24"/>
                <w:szCs w:val="24"/>
              </w:rPr>
              <w:t>1.1% (</w:t>
            </w:r>
            <w:r w:rsidR="005A657C">
              <w:rPr>
                <w:rFonts w:ascii="Arial" w:hAnsi="Arial" w:cs="Arial"/>
                <w:sz w:val="24"/>
                <w:szCs w:val="24"/>
              </w:rPr>
              <w:t>11)</w:t>
            </w:r>
          </w:p>
        </w:tc>
      </w:tr>
      <w:tr w:rsidR="00CE6306" w:rsidRPr="00A90AA3" w14:paraId="6070BDBC" w14:textId="77777777" w:rsidTr="006D308B">
        <w:trPr>
          <w:gridAfter w:val="2"/>
          <w:wAfter w:w="283" w:type="dxa"/>
        </w:trPr>
        <w:tc>
          <w:tcPr>
            <w:tcW w:w="1134" w:type="dxa"/>
          </w:tcPr>
          <w:p w14:paraId="7FB5792C" w14:textId="7D1036CF" w:rsidR="004E1B47" w:rsidRPr="00A90AA3" w:rsidRDefault="6FD39791" w:rsidP="000E18CA">
            <w:pPr>
              <w:pStyle w:val="NoSpacing"/>
              <w:ind w:left="792" w:hanging="755"/>
            </w:pPr>
            <w:r>
              <w:t>3.3</w:t>
            </w:r>
          </w:p>
        </w:tc>
        <w:tc>
          <w:tcPr>
            <w:tcW w:w="8857" w:type="dxa"/>
            <w:gridSpan w:val="2"/>
          </w:tcPr>
          <w:p w14:paraId="2EBCECBB" w14:textId="492791FB" w:rsidR="004E1B47" w:rsidRDefault="1EAADDC2" w:rsidP="1CC200DC">
            <w:pPr>
              <w:ind w:right="37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u w:val="single"/>
              </w:rPr>
              <w:t>Staff</w:t>
            </w:r>
            <w:r w:rsidR="51CC2F95">
              <w:rPr>
                <w:rFonts w:ascii="Arial" w:hAnsi="Arial" w:cs="Arial"/>
                <w:szCs w:val="24"/>
                <w:u w:val="single"/>
              </w:rPr>
              <w:t>ing</w:t>
            </w:r>
            <w:r>
              <w:rPr>
                <w:rFonts w:ascii="Arial" w:hAnsi="Arial" w:cs="Arial"/>
                <w:szCs w:val="24"/>
                <w:u w:val="single"/>
              </w:rPr>
              <w:t xml:space="preserve"> matters – attendance management</w:t>
            </w:r>
          </w:p>
          <w:p w14:paraId="6FF68C49" w14:textId="3F1BF619" w:rsidR="004E1B47" w:rsidRPr="004E1B47" w:rsidRDefault="004E1B47" w:rsidP="00566883">
            <w:pPr>
              <w:ind w:right="37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E6306" w:rsidRPr="00A90AA3" w14:paraId="0B9031E2" w14:textId="77777777" w:rsidTr="006D308B">
        <w:trPr>
          <w:gridAfter w:val="2"/>
          <w:wAfter w:w="283" w:type="dxa"/>
        </w:trPr>
        <w:tc>
          <w:tcPr>
            <w:tcW w:w="1134" w:type="dxa"/>
          </w:tcPr>
          <w:p w14:paraId="2E842544" w14:textId="68BDE220" w:rsidR="00794E6A" w:rsidRPr="00A90AA3" w:rsidRDefault="00E55373" w:rsidP="000E18CA">
            <w:pPr>
              <w:pStyle w:val="NoSpacing"/>
              <w:ind w:left="720" w:hanging="683"/>
            </w:pPr>
            <w:r>
              <w:t>3.3.1</w:t>
            </w:r>
          </w:p>
        </w:tc>
        <w:tc>
          <w:tcPr>
            <w:tcW w:w="8857" w:type="dxa"/>
            <w:gridSpan w:val="2"/>
          </w:tcPr>
          <w:p w14:paraId="55235983" w14:textId="2BDCEDD4" w:rsidR="00794E6A" w:rsidRPr="000F140A" w:rsidRDefault="00322420" w:rsidP="00566883">
            <w:pPr>
              <w:ind w:right="37"/>
              <w:jc w:val="both"/>
              <w:rPr>
                <w:rFonts w:ascii="Arial" w:hAnsi="Arial" w:cs="Arial"/>
                <w:szCs w:val="24"/>
              </w:rPr>
            </w:pPr>
            <w:r w:rsidRPr="000F140A">
              <w:rPr>
                <w:rFonts w:ascii="Arial" w:hAnsi="Arial" w:cs="Arial"/>
                <w:szCs w:val="24"/>
              </w:rPr>
              <w:t>Attendance management</w:t>
            </w:r>
            <w:r w:rsidR="000F140A" w:rsidRPr="000F140A">
              <w:rPr>
                <w:rFonts w:ascii="Arial" w:hAnsi="Arial" w:cs="Arial"/>
                <w:szCs w:val="24"/>
              </w:rPr>
              <w:t xml:space="preserve"> </w:t>
            </w:r>
            <w:r w:rsidR="007C65C4" w:rsidRPr="007C65C4">
              <w:rPr>
                <w:rFonts w:ascii="Arial" w:hAnsi="Arial" w:cs="Arial"/>
                <w:b/>
                <w:bCs/>
                <w:szCs w:val="24"/>
              </w:rPr>
              <w:t>(Appendix B)</w:t>
            </w:r>
            <w:r w:rsidR="007C65C4">
              <w:rPr>
                <w:rFonts w:ascii="Arial" w:hAnsi="Arial" w:cs="Arial"/>
                <w:szCs w:val="24"/>
              </w:rPr>
              <w:t xml:space="preserve"> </w:t>
            </w:r>
            <w:r w:rsidRPr="000F140A">
              <w:rPr>
                <w:rFonts w:ascii="Arial" w:hAnsi="Arial" w:cs="Arial"/>
                <w:szCs w:val="24"/>
              </w:rPr>
              <w:t>can be summarised thus:</w:t>
            </w:r>
          </w:p>
          <w:p w14:paraId="1FB6283D" w14:textId="77777777" w:rsidR="00322420" w:rsidRPr="000F140A" w:rsidRDefault="00322420" w:rsidP="00566883">
            <w:pPr>
              <w:ind w:right="37"/>
              <w:jc w:val="both"/>
              <w:rPr>
                <w:rFonts w:ascii="Arial" w:hAnsi="Arial" w:cs="Arial"/>
                <w:szCs w:val="24"/>
              </w:rPr>
            </w:pPr>
          </w:p>
          <w:p w14:paraId="08DF880D" w14:textId="71635E06" w:rsidR="00322420" w:rsidRDefault="000F140A" w:rsidP="0056688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714" w:right="3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Short-term absence (</w:t>
            </w:r>
            <w:r w:rsidR="00C647DC">
              <w:rPr>
                <w:rFonts w:ascii="Arial" w:hAnsi="Arial" w:cs="Arial"/>
                <w:sz w:val="24"/>
                <w:szCs w:val="24"/>
              </w:rPr>
              <w:t xml:space="preserve">&lt;10 consecutive working days) = </w:t>
            </w:r>
            <w:r w:rsidR="00C83812">
              <w:rPr>
                <w:rFonts w:ascii="Arial" w:hAnsi="Arial" w:cs="Arial"/>
                <w:sz w:val="24"/>
                <w:szCs w:val="24"/>
              </w:rPr>
              <w:t>-</w:t>
            </w:r>
            <w:r w:rsidR="00F207D8">
              <w:rPr>
                <w:rFonts w:ascii="Arial" w:hAnsi="Arial" w:cs="Arial"/>
                <w:sz w:val="24"/>
                <w:szCs w:val="24"/>
              </w:rPr>
              <w:t>0.03</w:t>
            </w:r>
          </w:p>
          <w:p w14:paraId="32F18DD3" w14:textId="6557A620" w:rsidR="00511CF7" w:rsidRDefault="00511CF7" w:rsidP="0056688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714" w:right="3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Long-term absence (&gt;10</w:t>
            </w:r>
            <w:r w:rsidR="004C0156">
              <w:rPr>
                <w:rFonts w:ascii="Arial" w:hAnsi="Arial" w:cs="Arial"/>
                <w:sz w:val="24"/>
                <w:szCs w:val="24"/>
              </w:rPr>
              <w:t xml:space="preserve"> consecutive working days) = </w:t>
            </w:r>
            <w:r w:rsidR="00F207D8">
              <w:rPr>
                <w:rFonts w:ascii="Arial" w:hAnsi="Arial" w:cs="Arial"/>
                <w:sz w:val="24"/>
                <w:szCs w:val="24"/>
              </w:rPr>
              <w:t>-</w:t>
            </w:r>
            <w:r w:rsidR="00E03BD2">
              <w:rPr>
                <w:rFonts w:ascii="Arial" w:hAnsi="Arial" w:cs="Arial"/>
                <w:sz w:val="24"/>
                <w:szCs w:val="24"/>
              </w:rPr>
              <w:t>0.33</w:t>
            </w:r>
          </w:p>
          <w:p w14:paraId="107497D3" w14:textId="1B426775" w:rsidR="00E461C2" w:rsidRPr="00D43B41" w:rsidRDefault="00E461C2" w:rsidP="0056688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714" w:right="3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Long-term absences carried into </w:t>
            </w:r>
            <w:r w:rsidRPr="009E6C0C">
              <w:rPr>
                <w:rFonts w:ascii="Arial" w:hAnsi="Arial" w:cs="Arial"/>
                <w:sz w:val="24"/>
                <w:szCs w:val="24"/>
              </w:rPr>
              <w:t>Q</w:t>
            </w:r>
            <w:r w:rsidR="00365EE8">
              <w:rPr>
                <w:rFonts w:ascii="Arial" w:hAnsi="Arial" w:cs="Arial"/>
                <w:sz w:val="24"/>
                <w:szCs w:val="24"/>
              </w:rPr>
              <w:t>1</w:t>
            </w:r>
            <w:r w:rsidR="0046660F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="00E03BD2">
              <w:rPr>
                <w:rFonts w:ascii="Arial" w:hAnsi="Arial" w:cs="Arial"/>
                <w:sz w:val="24"/>
                <w:szCs w:val="24"/>
              </w:rPr>
              <w:t xml:space="preserve">14 </w:t>
            </w:r>
            <w:r w:rsidR="234A5758" w:rsidRPr="6B2213A0">
              <w:rPr>
                <w:rFonts w:ascii="Arial" w:hAnsi="Arial" w:cs="Arial"/>
                <w:sz w:val="24"/>
                <w:szCs w:val="24"/>
              </w:rPr>
              <w:t>i</w:t>
            </w:r>
            <w:r w:rsidR="0038233B" w:rsidRPr="6B2213A0">
              <w:rPr>
                <w:rFonts w:ascii="Arial" w:hAnsi="Arial" w:cs="Arial"/>
                <w:sz w:val="24"/>
                <w:szCs w:val="24"/>
              </w:rPr>
              <w:t>ndividuals</w:t>
            </w:r>
          </w:p>
          <w:p w14:paraId="1E966AE9" w14:textId="653B8BA9" w:rsidR="00E55373" w:rsidRPr="00DF3ED7" w:rsidRDefault="00AA2E40" w:rsidP="0056688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714" w:right="3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Average days sick</w:t>
            </w:r>
            <w:r w:rsidR="008C34CF">
              <w:rPr>
                <w:rFonts w:ascii="Arial" w:hAnsi="Arial" w:cs="Arial"/>
                <w:sz w:val="24"/>
                <w:szCs w:val="24"/>
              </w:rPr>
              <w:t xml:space="preserve"> per FTE employee = </w:t>
            </w:r>
            <w:r w:rsidR="00731C0D">
              <w:rPr>
                <w:rFonts w:ascii="Arial" w:hAnsi="Arial" w:cs="Arial"/>
                <w:sz w:val="24"/>
                <w:szCs w:val="24"/>
              </w:rPr>
              <w:t>-0.</w:t>
            </w:r>
            <w:r w:rsidR="00E01C2E">
              <w:rPr>
                <w:rFonts w:ascii="Arial" w:hAnsi="Arial" w:cs="Arial"/>
                <w:sz w:val="24"/>
                <w:szCs w:val="24"/>
              </w:rPr>
              <w:t xml:space="preserve">22 </w:t>
            </w:r>
            <w:r w:rsidR="0038233B">
              <w:rPr>
                <w:rFonts w:ascii="Arial" w:hAnsi="Arial" w:cs="Arial"/>
                <w:sz w:val="24"/>
                <w:szCs w:val="24"/>
              </w:rPr>
              <w:t>days</w:t>
            </w:r>
          </w:p>
        </w:tc>
      </w:tr>
      <w:tr w:rsidR="00CE6306" w:rsidRPr="00A90AA3" w14:paraId="3CE744B9" w14:textId="77777777" w:rsidTr="006D308B">
        <w:trPr>
          <w:gridAfter w:val="2"/>
          <w:wAfter w:w="283" w:type="dxa"/>
        </w:trPr>
        <w:tc>
          <w:tcPr>
            <w:tcW w:w="1134" w:type="dxa"/>
          </w:tcPr>
          <w:p w14:paraId="136C60F6" w14:textId="7044AE15" w:rsidR="007361EA" w:rsidRDefault="007361EA" w:rsidP="000E18CA">
            <w:pPr>
              <w:pStyle w:val="NoSpacing"/>
              <w:ind w:left="720" w:hanging="683"/>
            </w:pPr>
            <w:r>
              <w:t>3.3.2</w:t>
            </w:r>
          </w:p>
        </w:tc>
        <w:tc>
          <w:tcPr>
            <w:tcW w:w="8857" w:type="dxa"/>
            <w:gridSpan w:val="2"/>
          </w:tcPr>
          <w:p w14:paraId="6843DA17" w14:textId="4830A683" w:rsidR="007F1D8A" w:rsidRDefault="088A9648" w:rsidP="00566883">
            <w:pPr>
              <w:ind w:right="37"/>
              <w:jc w:val="both"/>
              <w:rPr>
                <w:rFonts w:ascii="Arial" w:hAnsi="Arial" w:cs="Arial"/>
              </w:rPr>
            </w:pPr>
            <w:r w:rsidRPr="057B8305">
              <w:rPr>
                <w:rFonts w:ascii="Arial" w:hAnsi="Arial" w:cs="Arial"/>
              </w:rPr>
              <w:t>There</w:t>
            </w:r>
            <w:r w:rsidR="3CD2701B" w:rsidRPr="057B8305">
              <w:rPr>
                <w:rFonts w:ascii="Arial" w:hAnsi="Arial" w:cs="Arial"/>
              </w:rPr>
              <w:t xml:space="preserve"> has been </w:t>
            </w:r>
            <w:r w:rsidR="7D5CFC74" w:rsidRPr="057B8305">
              <w:rPr>
                <w:rFonts w:ascii="Arial" w:hAnsi="Arial" w:cs="Arial"/>
              </w:rPr>
              <w:t xml:space="preserve">a slight </w:t>
            </w:r>
            <w:r w:rsidR="003D691E">
              <w:rPr>
                <w:rFonts w:ascii="Arial" w:hAnsi="Arial" w:cs="Arial"/>
              </w:rPr>
              <w:t>decrease</w:t>
            </w:r>
            <w:r w:rsidR="7DEA0BA8" w:rsidRPr="057B8305">
              <w:rPr>
                <w:rFonts w:ascii="Arial" w:hAnsi="Arial" w:cs="Arial"/>
              </w:rPr>
              <w:t xml:space="preserve"> </w:t>
            </w:r>
            <w:r w:rsidR="18A7C577" w:rsidRPr="057B8305">
              <w:rPr>
                <w:rFonts w:ascii="Arial" w:hAnsi="Arial" w:cs="Arial"/>
              </w:rPr>
              <w:t xml:space="preserve">in </w:t>
            </w:r>
            <w:r w:rsidR="003D691E">
              <w:rPr>
                <w:rFonts w:ascii="Arial" w:hAnsi="Arial" w:cs="Arial"/>
              </w:rPr>
              <w:t xml:space="preserve">both </w:t>
            </w:r>
            <w:r w:rsidR="40E1F4F7" w:rsidRPr="057B8305">
              <w:rPr>
                <w:rFonts w:ascii="Arial" w:hAnsi="Arial" w:cs="Arial"/>
              </w:rPr>
              <w:t>short</w:t>
            </w:r>
            <w:r w:rsidR="002C6AC7">
              <w:rPr>
                <w:rFonts w:ascii="Arial" w:hAnsi="Arial" w:cs="Arial"/>
              </w:rPr>
              <w:t>-</w:t>
            </w:r>
            <w:r w:rsidR="27A4D5DA" w:rsidRPr="057B8305">
              <w:rPr>
                <w:rFonts w:ascii="Arial" w:hAnsi="Arial" w:cs="Arial"/>
              </w:rPr>
              <w:t xml:space="preserve">term </w:t>
            </w:r>
            <w:r w:rsidR="003D691E">
              <w:rPr>
                <w:rFonts w:ascii="Arial" w:hAnsi="Arial" w:cs="Arial"/>
              </w:rPr>
              <w:t xml:space="preserve">and long-term </w:t>
            </w:r>
            <w:r w:rsidR="27A4D5DA" w:rsidRPr="057B8305">
              <w:rPr>
                <w:rFonts w:ascii="Arial" w:hAnsi="Arial" w:cs="Arial"/>
              </w:rPr>
              <w:t>absences</w:t>
            </w:r>
            <w:r w:rsidR="3CD2701B" w:rsidRPr="057B8305">
              <w:rPr>
                <w:rFonts w:ascii="Arial" w:hAnsi="Arial" w:cs="Arial"/>
              </w:rPr>
              <w:t xml:space="preserve"> during Q</w:t>
            </w:r>
            <w:r w:rsidR="00493046">
              <w:rPr>
                <w:rFonts w:ascii="Arial" w:hAnsi="Arial" w:cs="Arial"/>
              </w:rPr>
              <w:t>1</w:t>
            </w:r>
            <w:r w:rsidRPr="057B8305">
              <w:rPr>
                <w:rFonts w:ascii="Arial" w:hAnsi="Arial" w:cs="Arial"/>
              </w:rPr>
              <w:t>.</w:t>
            </w:r>
          </w:p>
          <w:p w14:paraId="3FD080BA" w14:textId="3424E873" w:rsidR="00946663" w:rsidRPr="000F140A" w:rsidRDefault="00946663" w:rsidP="00566883">
            <w:pPr>
              <w:ind w:right="37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E6306" w:rsidRPr="00A90AA3" w14:paraId="42FD4238" w14:textId="77777777" w:rsidTr="006D308B">
        <w:trPr>
          <w:gridAfter w:val="2"/>
          <w:wAfter w:w="283" w:type="dxa"/>
          <w:trHeight w:val="142"/>
        </w:trPr>
        <w:tc>
          <w:tcPr>
            <w:tcW w:w="1134" w:type="dxa"/>
          </w:tcPr>
          <w:p w14:paraId="79A265EC" w14:textId="77777777" w:rsidR="00BF29A1" w:rsidRDefault="00BF29A1" w:rsidP="000E18CA">
            <w:pPr>
              <w:pStyle w:val="NoSpacing"/>
              <w:ind w:left="720" w:hanging="683"/>
            </w:pPr>
            <w:r>
              <w:lastRenderedPageBreak/>
              <w:t>3.3.3</w:t>
            </w:r>
          </w:p>
          <w:p w14:paraId="681D0155" w14:textId="77777777" w:rsidR="00AF2E2C" w:rsidRDefault="00AF2E2C" w:rsidP="000E18CA">
            <w:pPr>
              <w:pStyle w:val="NoSpacing"/>
              <w:ind w:left="720" w:hanging="683"/>
            </w:pPr>
          </w:p>
          <w:p w14:paraId="41E8F111" w14:textId="5A703042" w:rsidR="00AF2E2C" w:rsidRDefault="00AF2E2C" w:rsidP="00071269">
            <w:pPr>
              <w:pStyle w:val="NoSpacing"/>
            </w:pPr>
          </w:p>
        </w:tc>
        <w:tc>
          <w:tcPr>
            <w:tcW w:w="8857" w:type="dxa"/>
            <w:gridSpan w:val="2"/>
          </w:tcPr>
          <w:p w14:paraId="0B9A48D9" w14:textId="77777777" w:rsidR="008D35FA" w:rsidRDefault="00A1346E" w:rsidP="00566883">
            <w:pPr>
              <w:ind w:right="37"/>
              <w:jc w:val="both"/>
              <w:rPr>
                <w:rFonts w:ascii="Arial" w:eastAsia="Calibri" w:hAnsi="Arial" w:cs="Arial"/>
                <w:bCs/>
                <w:szCs w:val="24"/>
              </w:rPr>
            </w:pPr>
            <w:r>
              <w:rPr>
                <w:rFonts w:ascii="Arial" w:eastAsia="Calibri" w:hAnsi="Arial" w:cs="Arial"/>
                <w:bCs/>
                <w:szCs w:val="24"/>
              </w:rPr>
              <w:t xml:space="preserve">Overall absence rates have </w:t>
            </w:r>
            <w:r w:rsidR="00932902">
              <w:rPr>
                <w:rFonts w:ascii="Arial" w:eastAsia="Calibri" w:hAnsi="Arial" w:cs="Arial"/>
                <w:bCs/>
                <w:szCs w:val="24"/>
              </w:rPr>
              <w:t>consistently reduced over the past 12 months, with</w:t>
            </w:r>
            <w:r w:rsidR="00D539F7">
              <w:rPr>
                <w:rFonts w:ascii="Arial" w:eastAsia="Calibri" w:hAnsi="Arial" w:cs="Arial"/>
                <w:bCs/>
                <w:szCs w:val="24"/>
              </w:rPr>
              <w:t xml:space="preserve"> recorded figures now back to very similar </w:t>
            </w:r>
            <w:r w:rsidR="002047CB">
              <w:rPr>
                <w:rFonts w:ascii="Arial" w:eastAsia="Calibri" w:hAnsi="Arial" w:cs="Arial"/>
                <w:bCs/>
                <w:szCs w:val="24"/>
              </w:rPr>
              <w:t xml:space="preserve">levels of those recorded </w:t>
            </w:r>
            <w:r w:rsidR="00F076AF">
              <w:rPr>
                <w:rFonts w:ascii="Arial" w:eastAsia="Calibri" w:hAnsi="Arial" w:cs="Arial"/>
                <w:bCs/>
                <w:szCs w:val="24"/>
              </w:rPr>
              <w:t>for the same period in</w:t>
            </w:r>
            <w:r w:rsidR="002047CB">
              <w:rPr>
                <w:rFonts w:ascii="Arial" w:eastAsia="Calibri" w:hAnsi="Arial" w:cs="Arial"/>
                <w:bCs/>
                <w:szCs w:val="24"/>
              </w:rPr>
              <w:t xml:space="preserve"> 2019, prior to the pandemic.</w:t>
            </w:r>
          </w:p>
          <w:p w14:paraId="2074FC3C" w14:textId="4F4455BE" w:rsidR="00B73A5C" w:rsidRPr="007950FB" w:rsidRDefault="00B73A5C" w:rsidP="00566883">
            <w:pPr>
              <w:ind w:right="37"/>
              <w:jc w:val="both"/>
              <w:rPr>
                <w:rFonts w:ascii="Arial" w:eastAsia="Calibri" w:hAnsi="Arial" w:cs="Arial"/>
                <w:szCs w:val="24"/>
              </w:rPr>
            </w:pPr>
          </w:p>
        </w:tc>
      </w:tr>
      <w:tr w:rsidR="00860725" w:rsidRPr="00B73684" w14:paraId="50CBF757" w14:textId="77777777" w:rsidTr="006D308B">
        <w:trPr>
          <w:gridAfter w:val="1"/>
          <w:wAfter w:w="265" w:type="dxa"/>
        </w:trPr>
        <w:tc>
          <w:tcPr>
            <w:tcW w:w="1134" w:type="dxa"/>
          </w:tcPr>
          <w:p w14:paraId="67C69CA0" w14:textId="0EE2069A" w:rsidR="00BE215B" w:rsidRPr="00A90AA3" w:rsidRDefault="00BE215B">
            <w:pPr>
              <w:pStyle w:val="NoSpacing"/>
              <w:ind w:left="792" w:hanging="755"/>
            </w:pPr>
            <w:r>
              <w:t>3.</w:t>
            </w:r>
            <w:r w:rsidR="000A455C">
              <w:t>4</w:t>
            </w:r>
          </w:p>
        </w:tc>
        <w:tc>
          <w:tcPr>
            <w:tcW w:w="8875" w:type="dxa"/>
            <w:gridSpan w:val="3"/>
          </w:tcPr>
          <w:p w14:paraId="4973A341" w14:textId="77777777" w:rsidR="00BE215B" w:rsidRDefault="00BE215B" w:rsidP="00566883">
            <w:pPr>
              <w:ind w:right="37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u w:val="single"/>
              </w:rPr>
              <w:t>Implementation of HR policies or processes</w:t>
            </w:r>
          </w:p>
          <w:p w14:paraId="744ADB7D" w14:textId="77777777" w:rsidR="00BE215B" w:rsidRPr="00B73684" w:rsidRDefault="00BE215B" w:rsidP="00566883">
            <w:pPr>
              <w:ind w:right="37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860725" w:rsidRPr="00A27CC6" w14:paraId="39BFF2E4" w14:textId="77777777" w:rsidTr="006D308B">
        <w:trPr>
          <w:gridAfter w:val="1"/>
          <w:wAfter w:w="265" w:type="dxa"/>
        </w:trPr>
        <w:tc>
          <w:tcPr>
            <w:tcW w:w="1134" w:type="dxa"/>
          </w:tcPr>
          <w:p w14:paraId="1F6442EE" w14:textId="7316F930" w:rsidR="00BE215B" w:rsidRPr="00A90AA3" w:rsidRDefault="00BE215B">
            <w:pPr>
              <w:pStyle w:val="NoSpacing"/>
              <w:ind w:left="720" w:hanging="683"/>
            </w:pPr>
            <w:r>
              <w:t>3.</w:t>
            </w:r>
            <w:r w:rsidR="000A455C">
              <w:t>4</w:t>
            </w:r>
            <w:r>
              <w:t>.1</w:t>
            </w:r>
          </w:p>
        </w:tc>
        <w:tc>
          <w:tcPr>
            <w:tcW w:w="8875" w:type="dxa"/>
            <w:gridSpan w:val="3"/>
          </w:tcPr>
          <w:p w14:paraId="64686738" w14:textId="77777777" w:rsidR="00BE215B" w:rsidRPr="002F7E38" w:rsidRDefault="00BE215B" w:rsidP="00566883">
            <w:pPr>
              <w:ind w:right="37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</w:t>
            </w:r>
            <w:r w:rsidRPr="002F7E38">
              <w:rPr>
                <w:rFonts w:ascii="Arial" w:hAnsi="Arial" w:cs="Arial"/>
                <w:szCs w:val="24"/>
              </w:rPr>
              <w:t>he following</w:t>
            </w:r>
            <w:r>
              <w:rPr>
                <w:rFonts w:ascii="Arial" w:hAnsi="Arial" w:cs="Arial"/>
                <w:szCs w:val="24"/>
              </w:rPr>
              <w:t xml:space="preserve"> list details the application of</w:t>
            </w:r>
            <w:r w:rsidRPr="002F7E38">
              <w:rPr>
                <w:rFonts w:ascii="Arial" w:hAnsi="Arial" w:cs="Arial"/>
                <w:szCs w:val="24"/>
              </w:rPr>
              <w:t xml:space="preserve"> HR policies or processes</w:t>
            </w:r>
            <w:r>
              <w:rPr>
                <w:rFonts w:ascii="Arial" w:hAnsi="Arial" w:cs="Arial"/>
                <w:szCs w:val="24"/>
              </w:rPr>
              <w:t xml:space="preserve"> at the time of writing this report</w:t>
            </w:r>
            <w:r w:rsidRPr="002F7E38">
              <w:rPr>
                <w:rFonts w:ascii="Arial" w:hAnsi="Arial" w:cs="Arial"/>
                <w:szCs w:val="24"/>
              </w:rPr>
              <w:t>:</w:t>
            </w:r>
          </w:p>
          <w:p w14:paraId="144CC97B" w14:textId="77777777" w:rsidR="00BE215B" w:rsidRPr="002F7E38" w:rsidRDefault="00BE215B" w:rsidP="00566883">
            <w:pPr>
              <w:ind w:right="37"/>
              <w:jc w:val="both"/>
              <w:rPr>
                <w:rFonts w:ascii="Arial" w:hAnsi="Arial" w:cs="Arial"/>
                <w:szCs w:val="24"/>
              </w:rPr>
            </w:pPr>
          </w:p>
          <w:p w14:paraId="60DA2A01" w14:textId="7594FB82" w:rsidR="00BE215B" w:rsidRPr="002F7E38" w:rsidRDefault="00BE215B" w:rsidP="0056688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459" w:right="37" w:hanging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E38">
              <w:rPr>
                <w:rFonts w:ascii="Arial" w:hAnsi="Arial" w:cs="Arial"/>
                <w:sz w:val="24"/>
                <w:szCs w:val="24"/>
              </w:rPr>
              <w:t xml:space="preserve">Disciplinary procedure =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2C8A5CA7" w14:textId="77777777" w:rsidR="00BE215B" w:rsidRPr="002F7E38" w:rsidRDefault="00BE215B" w:rsidP="0056688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459" w:right="37" w:hanging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E38">
              <w:rPr>
                <w:rFonts w:ascii="Arial" w:hAnsi="Arial" w:cs="Arial"/>
                <w:sz w:val="24"/>
                <w:szCs w:val="24"/>
              </w:rPr>
              <w:t xml:space="preserve">Internal resolution process (formerly Grievance) =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531148E9" w14:textId="77777777" w:rsidR="00BE215B" w:rsidRPr="002F7E38" w:rsidRDefault="00BE215B" w:rsidP="0056688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459" w:right="37" w:hanging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E38">
              <w:rPr>
                <w:rFonts w:ascii="Arial" w:hAnsi="Arial" w:cs="Arial"/>
                <w:sz w:val="24"/>
                <w:szCs w:val="24"/>
              </w:rPr>
              <w:t xml:space="preserve">Dignity at Work =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5926EF1B" w14:textId="77777777" w:rsidR="00BE215B" w:rsidRDefault="00BE215B" w:rsidP="0056688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459" w:right="37" w:hanging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E38">
              <w:rPr>
                <w:rFonts w:ascii="Arial" w:hAnsi="Arial" w:cs="Arial"/>
                <w:sz w:val="24"/>
                <w:szCs w:val="24"/>
              </w:rPr>
              <w:t xml:space="preserve">Whistleblowing =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7BF49D6E" w14:textId="77777777" w:rsidR="00BE215B" w:rsidRDefault="00BE215B" w:rsidP="00566883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459" w:right="37" w:hanging="45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Official complaints against staff (external) = </w:t>
            </w:r>
            <w:r w:rsidRPr="00603992">
              <w:rPr>
                <w:rFonts w:ascii="Arial" w:hAnsi="Arial" w:cs="Arial"/>
                <w:sz w:val="24"/>
                <w:szCs w:val="24"/>
              </w:rPr>
              <w:t>1</w:t>
            </w:r>
            <w:r w:rsidRPr="7178C4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5AFBE31" w14:textId="6BBE3B44" w:rsidR="000A455C" w:rsidRPr="00A27CC6" w:rsidRDefault="000A455C" w:rsidP="00566883">
            <w:pPr>
              <w:pStyle w:val="ListParagraph"/>
              <w:spacing w:line="240" w:lineRule="auto"/>
              <w:ind w:left="459" w:right="3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BA1" w:rsidRPr="0071340A" w14:paraId="258F068D" w14:textId="77777777" w:rsidTr="006D308B">
        <w:trPr>
          <w:gridAfter w:val="1"/>
          <w:wAfter w:w="265" w:type="dxa"/>
        </w:trPr>
        <w:tc>
          <w:tcPr>
            <w:tcW w:w="1134" w:type="dxa"/>
          </w:tcPr>
          <w:p w14:paraId="424A5901" w14:textId="1F42AC62" w:rsidR="00BE215B" w:rsidRPr="00A90AA3" w:rsidRDefault="00BE215B">
            <w:pPr>
              <w:pStyle w:val="NoSpacing"/>
              <w:ind w:left="792" w:hanging="755"/>
            </w:pPr>
            <w:r>
              <w:t>3.</w:t>
            </w:r>
            <w:r w:rsidR="000A455C">
              <w:t>5</w:t>
            </w:r>
          </w:p>
        </w:tc>
        <w:tc>
          <w:tcPr>
            <w:tcW w:w="8875" w:type="dxa"/>
            <w:gridSpan w:val="3"/>
          </w:tcPr>
          <w:p w14:paraId="3945441F" w14:textId="77777777" w:rsidR="00BE215B" w:rsidRDefault="00BE215B" w:rsidP="00566883">
            <w:pPr>
              <w:ind w:right="37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u w:val="single"/>
              </w:rPr>
              <w:t>Industrial relations</w:t>
            </w:r>
          </w:p>
          <w:p w14:paraId="31531B0D" w14:textId="77777777" w:rsidR="00BE215B" w:rsidRPr="0071340A" w:rsidRDefault="00BE215B" w:rsidP="00566883">
            <w:pPr>
              <w:ind w:right="37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3BA1" w:rsidRPr="0042659A" w14:paraId="51599430" w14:textId="77777777" w:rsidTr="006D308B">
        <w:trPr>
          <w:gridAfter w:val="1"/>
          <w:wAfter w:w="265" w:type="dxa"/>
        </w:trPr>
        <w:tc>
          <w:tcPr>
            <w:tcW w:w="1134" w:type="dxa"/>
          </w:tcPr>
          <w:p w14:paraId="547706C8" w14:textId="77777777" w:rsidR="00BE215B" w:rsidRDefault="00BE215B">
            <w:pPr>
              <w:pStyle w:val="NoSpacing"/>
              <w:ind w:left="720" w:hanging="683"/>
            </w:pPr>
            <w:r>
              <w:t>3.</w:t>
            </w:r>
            <w:r w:rsidR="000A455C">
              <w:t>5</w:t>
            </w:r>
            <w:r>
              <w:t>.1</w:t>
            </w:r>
          </w:p>
          <w:p w14:paraId="7F09A1D3" w14:textId="77777777" w:rsidR="008838E7" w:rsidRDefault="008838E7">
            <w:pPr>
              <w:pStyle w:val="NoSpacing"/>
              <w:ind w:left="720" w:hanging="683"/>
            </w:pPr>
          </w:p>
          <w:p w14:paraId="113E0996" w14:textId="77777777" w:rsidR="008838E7" w:rsidRDefault="008838E7">
            <w:pPr>
              <w:pStyle w:val="NoSpacing"/>
              <w:ind w:left="720" w:hanging="683"/>
            </w:pPr>
          </w:p>
          <w:p w14:paraId="3FE9E445" w14:textId="77777777" w:rsidR="008838E7" w:rsidRDefault="008838E7">
            <w:pPr>
              <w:pStyle w:val="NoSpacing"/>
              <w:ind w:left="720" w:hanging="683"/>
            </w:pPr>
          </w:p>
          <w:p w14:paraId="5CA85EF5" w14:textId="77777777" w:rsidR="008838E7" w:rsidRDefault="008838E7">
            <w:pPr>
              <w:pStyle w:val="NoSpacing"/>
              <w:ind w:left="720" w:hanging="683"/>
            </w:pPr>
          </w:p>
          <w:p w14:paraId="0C14355F" w14:textId="77777777" w:rsidR="008838E7" w:rsidRDefault="008838E7">
            <w:pPr>
              <w:pStyle w:val="NoSpacing"/>
              <w:ind w:left="720" w:hanging="683"/>
            </w:pPr>
          </w:p>
          <w:p w14:paraId="647A16D5" w14:textId="77777777" w:rsidR="008838E7" w:rsidRDefault="008838E7">
            <w:pPr>
              <w:pStyle w:val="NoSpacing"/>
              <w:ind w:left="720" w:hanging="683"/>
            </w:pPr>
          </w:p>
          <w:p w14:paraId="58FD1762" w14:textId="6B79EAE2" w:rsidR="00BE215B" w:rsidRPr="00A90AA3" w:rsidRDefault="008838E7">
            <w:pPr>
              <w:pStyle w:val="NoSpacing"/>
              <w:ind w:left="720" w:hanging="683"/>
            </w:pPr>
            <w:r>
              <w:t>3.5.2</w:t>
            </w:r>
          </w:p>
        </w:tc>
        <w:tc>
          <w:tcPr>
            <w:tcW w:w="8875" w:type="dxa"/>
            <w:gridSpan w:val="3"/>
          </w:tcPr>
          <w:p w14:paraId="0076FA06" w14:textId="77777777" w:rsidR="00BE215B" w:rsidRPr="0042659A" w:rsidRDefault="00BE215B" w:rsidP="00566883">
            <w:pPr>
              <w:ind w:right="37"/>
              <w:jc w:val="both"/>
              <w:rPr>
                <w:rFonts w:ascii="Arial" w:hAnsi="Arial" w:cs="Arial"/>
                <w:szCs w:val="24"/>
              </w:rPr>
            </w:pPr>
            <w:r w:rsidRPr="0042659A">
              <w:rPr>
                <w:rFonts w:ascii="Arial" w:hAnsi="Arial" w:cs="Arial"/>
                <w:szCs w:val="24"/>
              </w:rPr>
              <w:t xml:space="preserve">The </w:t>
            </w:r>
            <w:r>
              <w:rPr>
                <w:rFonts w:ascii="Arial" w:hAnsi="Arial" w:cs="Arial"/>
                <w:szCs w:val="24"/>
              </w:rPr>
              <w:t>c</w:t>
            </w:r>
            <w:r w:rsidRPr="0042659A">
              <w:rPr>
                <w:rFonts w:ascii="Arial" w:hAnsi="Arial" w:cs="Arial"/>
                <w:szCs w:val="24"/>
              </w:rPr>
              <w:t xml:space="preserve">harity recognises and engages with the following </w:t>
            </w:r>
            <w:r>
              <w:rPr>
                <w:rFonts w:ascii="Arial" w:hAnsi="Arial" w:cs="Arial"/>
                <w:szCs w:val="24"/>
              </w:rPr>
              <w:t>u</w:t>
            </w:r>
            <w:r w:rsidRPr="0042659A">
              <w:rPr>
                <w:rFonts w:ascii="Arial" w:hAnsi="Arial" w:cs="Arial"/>
                <w:szCs w:val="24"/>
              </w:rPr>
              <w:t>nions:</w:t>
            </w:r>
          </w:p>
          <w:p w14:paraId="6F626F79" w14:textId="77777777" w:rsidR="00BE215B" w:rsidRPr="0042659A" w:rsidRDefault="00BE215B" w:rsidP="00566883">
            <w:pPr>
              <w:ind w:right="37"/>
              <w:jc w:val="both"/>
              <w:rPr>
                <w:rFonts w:ascii="Arial" w:hAnsi="Arial" w:cs="Arial"/>
                <w:szCs w:val="24"/>
              </w:rPr>
            </w:pPr>
          </w:p>
          <w:p w14:paraId="2E5B771C" w14:textId="77777777" w:rsidR="00BE215B" w:rsidRPr="0042659A" w:rsidRDefault="00BE215B" w:rsidP="00566883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714" w:right="3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59A">
              <w:rPr>
                <w:rFonts w:ascii="Arial" w:hAnsi="Arial" w:cs="Arial"/>
                <w:sz w:val="24"/>
                <w:szCs w:val="24"/>
              </w:rPr>
              <w:t>EIS (Music instructors)</w:t>
            </w:r>
          </w:p>
          <w:p w14:paraId="05F53FD2" w14:textId="77777777" w:rsidR="00BE215B" w:rsidRPr="0042659A" w:rsidRDefault="00BE215B" w:rsidP="00566883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714" w:right="3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59A">
              <w:rPr>
                <w:rFonts w:ascii="Arial" w:hAnsi="Arial" w:cs="Arial"/>
                <w:sz w:val="24"/>
                <w:szCs w:val="24"/>
              </w:rPr>
              <w:t>GMB</w:t>
            </w:r>
          </w:p>
          <w:p w14:paraId="2C9E1C2E" w14:textId="77777777" w:rsidR="00BE215B" w:rsidRPr="0042659A" w:rsidRDefault="00BE215B" w:rsidP="00566883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714" w:right="3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59A">
              <w:rPr>
                <w:rFonts w:ascii="Arial" w:hAnsi="Arial" w:cs="Arial"/>
                <w:sz w:val="24"/>
                <w:szCs w:val="24"/>
              </w:rPr>
              <w:t>UNISON</w:t>
            </w:r>
          </w:p>
          <w:p w14:paraId="48ABCFBA" w14:textId="77777777" w:rsidR="00BE215B" w:rsidRPr="0042659A" w:rsidRDefault="00BE215B" w:rsidP="00566883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714" w:right="3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59A">
              <w:rPr>
                <w:rFonts w:ascii="Arial" w:hAnsi="Arial" w:cs="Arial"/>
                <w:sz w:val="24"/>
                <w:szCs w:val="24"/>
              </w:rPr>
              <w:t>Unite the Union</w:t>
            </w:r>
          </w:p>
          <w:p w14:paraId="024CE332" w14:textId="77777777" w:rsidR="00BE215B" w:rsidRPr="0042659A" w:rsidRDefault="00BE215B" w:rsidP="00566883">
            <w:pPr>
              <w:ind w:right="37"/>
              <w:jc w:val="both"/>
              <w:rPr>
                <w:rFonts w:ascii="Arial" w:hAnsi="Arial" w:cs="Arial"/>
                <w:szCs w:val="24"/>
              </w:rPr>
            </w:pPr>
            <w:r w:rsidRPr="0042659A">
              <w:rPr>
                <w:rFonts w:ascii="Arial" w:hAnsi="Arial" w:cs="Arial"/>
                <w:szCs w:val="24"/>
              </w:rPr>
              <w:t xml:space="preserve">Ongoing communication and consultation with the above unions is undertaken through the Joint Consultation Forum (JCF), </w:t>
            </w:r>
            <w:r>
              <w:rPr>
                <w:rFonts w:ascii="Arial" w:hAnsi="Arial" w:cs="Arial"/>
                <w:szCs w:val="24"/>
              </w:rPr>
              <w:t>c</w:t>
            </w:r>
            <w:r w:rsidRPr="0042659A">
              <w:rPr>
                <w:rFonts w:ascii="Arial" w:hAnsi="Arial" w:cs="Arial"/>
                <w:szCs w:val="24"/>
              </w:rPr>
              <w:t>haired by the Director of Corporate Services and which meets quarterly.</w:t>
            </w:r>
          </w:p>
          <w:p w14:paraId="5AB4B9B9" w14:textId="77777777" w:rsidR="00BE215B" w:rsidRPr="0042659A" w:rsidRDefault="00BE215B" w:rsidP="00566883">
            <w:pPr>
              <w:ind w:right="37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860725" w:rsidRPr="00555805" w14:paraId="78C29ECD" w14:textId="77777777" w:rsidTr="006D308B">
        <w:trPr>
          <w:gridAfter w:val="1"/>
          <w:wAfter w:w="265" w:type="dxa"/>
          <w:trHeight w:val="1750"/>
        </w:trPr>
        <w:tc>
          <w:tcPr>
            <w:tcW w:w="1134" w:type="dxa"/>
          </w:tcPr>
          <w:p w14:paraId="0F63EDEE" w14:textId="6646B36E" w:rsidR="000A455C" w:rsidRDefault="000A455C">
            <w:pPr>
              <w:pStyle w:val="NoSpacing"/>
              <w:ind w:left="720" w:hanging="683"/>
            </w:pPr>
            <w:r>
              <w:t>3.5.</w:t>
            </w:r>
            <w:r w:rsidR="008838E7">
              <w:t>3</w:t>
            </w:r>
          </w:p>
          <w:p w14:paraId="07AB731E" w14:textId="77777777" w:rsidR="000A455C" w:rsidRDefault="000A455C">
            <w:pPr>
              <w:pStyle w:val="NoSpacing"/>
              <w:ind w:left="720" w:hanging="683"/>
            </w:pPr>
          </w:p>
          <w:p w14:paraId="576C0D74" w14:textId="77777777" w:rsidR="000A455C" w:rsidRDefault="000A455C">
            <w:pPr>
              <w:pStyle w:val="NoSpacing"/>
              <w:ind w:left="720" w:hanging="683"/>
            </w:pPr>
          </w:p>
          <w:p w14:paraId="674D06E3" w14:textId="77777777" w:rsidR="000A455C" w:rsidRDefault="000A455C">
            <w:pPr>
              <w:pStyle w:val="NoSpacing"/>
              <w:ind w:left="720" w:hanging="683"/>
            </w:pPr>
          </w:p>
          <w:p w14:paraId="110E13F3" w14:textId="77777777" w:rsidR="000A455C" w:rsidRPr="00A90AA3" w:rsidRDefault="000A455C">
            <w:pPr>
              <w:pStyle w:val="NoSpacing"/>
            </w:pPr>
          </w:p>
        </w:tc>
        <w:tc>
          <w:tcPr>
            <w:tcW w:w="8875" w:type="dxa"/>
            <w:gridSpan w:val="3"/>
          </w:tcPr>
          <w:p w14:paraId="642010D1" w14:textId="77777777" w:rsidR="000A455C" w:rsidRPr="00A67816" w:rsidRDefault="000A455C" w:rsidP="00566883">
            <w:pPr>
              <w:ind w:right="37"/>
              <w:jc w:val="both"/>
              <w:rPr>
                <w:rFonts w:ascii="Arial" w:hAnsi="Arial" w:cs="Arial"/>
                <w:szCs w:val="24"/>
              </w:rPr>
            </w:pPr>
            <w:r w:rsidRPr="00A67816">
              <w:rPr>
                <w:rFonts w:ascii="Arial" w:hAnsi="Arial" w:cs="Arial"/>
                <w:szCs w:val="24"/>
              </w:rPr>
              <w:t xml:space="preserve">The JCF met on </w:t>
            </w:r>
            <w:r>
              <w:rPr>
                <w:rFonts w:ascii="Arial" w:hAnsi="Arial" w:cs="Arial"/>
                <w:szCs w:val="24"/>
              </w:rPr>
              <w:t>7 June 2023</w:t>
            </w:r>
            <w:r w:rsidRPr="00A67816">
              <w:rPr>
                <w:rFonts w:ascii="Arial" w:hAnsi="Arial" w:cs="Arial"/>
                <w:szCs w:val="24"/>
              </w:rPr>
              <w:t>. The following items were discussed:</w:t>
            </w:r>
          </w:p>
          <w:p w14:paraId="3D31FCF7" w14:textId="77777777" w:rsidR="000A455C" w:rsidRPr="00A67816" w:rsidRDefault="000A455C" w:rsidP="00566883">
            <w:pPr>
              <w:ind w:right="37"/>
              <w:jc w:val="both"/>
              <w:rPr>
                <w:rFonts w:ascii="Arial" w:hAnsi="Arial" w:cs="Arial"/>
                <w:szCs w:val="24"/>
              </w:rPr>
            </w:pPr>
          </w:p>
          <w:p w14:paraId="41C25DCE" w14:textId="16A37423" w:rsidR="000A455C" w:rsidRDefault="000A455C" w:rsidP="00566883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714" w:right="3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HLH </w:t>
            </w:r>
            <w:r w:rsidR="00193E2A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 xml:space="preserve">udget </w:t>
            </w:r>
            <w:r w:rsidR="00193E2A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osition</w:t>
            </w:r>
          </w:p>
          <w:p w14:paraId="58958C04" w14:textId="1B98AF4B" w:rsidR="000A455C" w:rsidRDefault="000A455C" w:rsidP="00566883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714" w:right="3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New OH </w:t>
            </w:r>
            <w:r w:rsidR="00193E2A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rovider and referral process</w:t>
            </w:r>
          </w:p>
          <w:p w14:paraId="7C2949AB" w14:textId="77777777" w:rsidR="000A455C" w:rsidRPr="00555805" w:rsidRDefault="000A455C" w:rsidP="00566883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714" w:right="3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Payment of time for essential and non-essential training </w:t>
            </w:r>
          </w:p>
        </w:tc>
      </w:tr>
      <w:tr w:rsidR="00CE6306" w:rsidRPr="00A90AA3" w14:paraId="771555DF" w14:textId="77777777" w:rsidTr="006D308B">
        <w:trPr>
          <w:gridAfter w:val="2"/>
          <w:wAfter w:w="283" w:type="dxa"/>
        </w:trPr>
        <w:tc>
          <w:tcPr>
            <w:tcW w:w="1134" w:type="dxa"/>
          </w:tcPr>
          <w:p w14:paraId="70571C42" w14:textId="24C94CD9" w:rsidR="00601F6D" w:rsidRPr="00860725" w:rsidRDefault="000A455C" w:rsidP="005748FE">
            <w:pPr>
              <w:pStyle w:val="NoSpacing"/>
              <w:rPr>
                <w:b/>
                <w:bCs/>
              </w:rPr>
            </w:pPr>
            <w:r w:rsidRPr="00860725">
              <w:rPr>
                <w:b/>
                <w:bCs/>
              </w:rPr>
              <w:t>4.</w:t>
            </w:r>
          </w:p>
          <w:p w14:paraId="59C0C61B" w14:textId="015A260D" w:rsidR="008D35FA" w:rsidRPr="00860725" w:rsidRDefault="008D35FA" w:rsidP="005748FE">
            <w:pPr>
              <w:pStyle w:val="NoSpacing"/>
              <w:rPr>
                <w:b/>
                <w:bCs/>
              </w:rPr>
            </w:pPr>
          </w:p>
        </w:tc>
        <w:tc>
          <w:tcPr>
            <w:tcW w:w="8857" w:type="dxa"/>
            <w:gridSpan w:val="2"/>
          </w:tcPr>
          <w:p w14:paraId="537CD572" w14:textId="476C498B" w:rsidR="002047CB" w:rsidRPr="00D46DBE" w:rsidRDefault="00875D72" w:rsidP="00566883">
            <w:pPr>
              <w:ind w:right="37"/>
              <w:jc w:val="both"/>
              <w:rPr>
                <w:rFonts w:ascii="Arial" w:eastAsia="Calibri" w:hAnsi="Arial" w:cs="Arial"/>
                <w:b/>
                <w:bCs/>
                <w:szCs w:val="24"/>
              </w:rPr>
            </w:pPr>
            <w:r w:rsidRPr="00D46DBE">
              <w:rPr>
                <w:rFonts w:ascii="Arial" w:eastAsia="Calibri" w:hAnsi="Arial" w:cs="Arial"/>
                <w:b/>
                <w:bCs/>
                <w:szCs w:val="24"/>
              </w:rPr>
              <w:t>Attendance Management</w:t>
            </w:r>
            <w:r w:rsidR="00E65260" w:rsidRPr="00D46DBE">
              <w:rPr>
                <w:rFonts w:ascii="Arial" w:eastAsia="Calibri" w:hAnsi="Arial" w:cs="Arial"/>
                <w:b/>
                <w:bCs/>
                <w:szCs w:val="24"/>
              </w:rPr>
              <w:t xml:space="preserve"> </w:t>
            </w:r>
          </w:p>
        </w:tc>
      </w:tr>
      <w:tr w:rsidR="00CE6306" w:rsidRPr="00A90AA3" w14:paraId="2907CB18" w14:textId="77777777" w:rsidTr="006D308B">
        <w:trPr>
          <w:gridAfter w:val="2"/>
          <w:wAfter w:w="283" w:type="dxa"/>
        </w:trPr>
        <w:tc>
          <w:tcPr>
            <w:tcW w:w="1134" w:type="dxa"/>
          </w:tcPr>
          <w:p w14:paraId="62B65B7C" w14:textId="6D8F5924" w:rsidR="005748FE" w:rsidRDefault="005748FE" w:rsidP="005748FE">
            <w:pPr>
              <w:pStyle w:val="NoSpacing"/>
            </w:pPr>
            <w:r>
              <w:t>4.1</w:t>
            </w:r>
          </w:p>
        </w:tc>
        <w:tc>
          <w:tcPr>
            <w:tcW w:w="8857" w:type="dxa"/>
            <w:gridSpan w:val="2"/>
          </w:tcPr>
          <w:p w14:paraId="08E08981" w14:textId="1AE86CDB" w:rsidR="005748FE" w:rsidRPr="005748FE" w:rsidRDefault="00E30FEB" w:rsidP="00566883">
            <w:pPr>
              <w:ind w:right="37"/>
              <w:jc w:val="both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At HLH’s Board Meeting in June 2023, Directors requested </w:t>
            </w:r>
            <w:r w:rsidR="00A9077C">
              <w:rPr>
                <w:rFonts w:ascii="Arial" w:eastAsia="Calibri" w:hAnsi="Arial" w:cs="Arial"/>
                <w:szCs w:val="24"/>
              </w:rPr>
              <w:t>a d</w:t>
            </w:r>
            <w:r w:rsidR="00EF074A">
              <w:rPr>
                <w:rFonts w:ascii="Arial" w:eastAsia="Calibri" w:hAnsi="Arial" w:cs="Arial"/>
                <w:szCs w:val="24"/>
              </w:rPr>
              <w:t>etail</w:t>
            </w:r>
            <w:r w:rsidR="00A9077C">
              <w:rPr>
                <w:rFonts w:ascii="Arial" w:eastAsia="Calibri" w:hAnsi="Arial" w:cs="Arial"/>
                <w:szCs w:val="24"/>
              </w:rPr>
              <w:t>ed report</w:t>
            </w:r>
            <w:r w:rsidR="00EF074A">
              <w:rPr>
                <w:rFonts w:ascii="Arial" w:eastAsia="Calibri" w:hAnsi="Arial" w:cs="Arial"/>
                <w:szCs w:val="24"/>
              </w:rPr>
              <w:t xml:space="preserve"> on absence </w:t>
            </w:r>
            <w:r w:rsidR="00D13D53">
              <w:rPr>
                <w:rFonts w:ascii="Arial" w:eastAsia="Calibri" w:hAnsi="Arial" w:cs="Arial"/>
                <w:szCs w:val="24"/>
              </w:rPr>
              <w:t xml:space="preserve">monitoring and </w:t>
            </w:r>
            <w:r w:rsidR="009A1DD3">
              <w:rPr>
                <w:rFonts w:ascii="Arial" w:eastAsia="Calibri" w:hAnsi="Arial" w:cs="Arial"/>
                <w:szCs w:val="24"/>
              </w:rPr>
              <w:t xml:space="preserve">other interventions </w:t>
            </w:r>
            <w:r w:rsidR="00D17EB1">
              <w:rPr>
                <w:rFonts w:ascii="Arial" w:eastAsia="Calibri" w:hAnsi="Arial" w:cs="Arial"/>
                <w:szCs w:val="24"/>
              </w:rPr>
              <w:t>undertaken by</w:t>
            </w:r>
            <w:r w:rsidR="009A1DD3">
              <w:rPr>
                <w:rFonts w:ascii="Arial" w:eastAsia="Calibri" w:hAnsi="Arial" w:cs="Arial"/>
                <w:szCs w:val="24"/>
              </w:rPr>
              <w:t xml:space="preserve"> to HLH in the management of absence.</w:t>
            </w:r>
            <w:r w:rsidR="00EF074A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</w:tr>
      <w:tr w:rsidR="00CE6306" w:rsidRPr="00A90AA3" w14:paraId="77B474C4" w14:textId="77777777" w:rsidTr="006D308B">
        <w:trPr>
          <w:gridAfter w:val="2"/>
          <w:wAfter w:w="283" w:type="dxa"/>
        </w:trPr>
        <w:tc>
          <w:tcPr>
            <w:tcW w:w="1134" w:type="dxa"/>
          </w:tcPr>
          <w:p w14:paraId="032ADE59" w14:textId="77777777" w:rsidR="009A1DD3" w:rsidRDefault="009A1DD3" w:rsidP="005748FE">
            <w:pPr>
              <w:pStyle w:val="NoSpacing"/>
            </w:pPr>
          </w:p>
          <w:p w14:paraId="517A6E35" w14:textId="777456F0" w:rsidR="009A1DD3" w:rsidRDefault="009A1DD3" w:rsidP="005748FE">
            <w:pPr>
              <w:pStyle w:val="NoSpacing"/>
            </w:pPr>
            <w:r>
              <w:t>4.2</w:t>
            </w:r>
          </w:p>
        </w:tc>
        <w:tc>
          <w:tcPr>
            <w:tcW w:w="8857" w:type="dxa"/>
            <w:gridSpan w:val="2"/>
          </w:tcPr>
          <w:p w14:paraId="700529B6" w14:textId="77777777" w:rsidR="009A1DD3" w:rsidRDefault="009A1DD3" w:rsidP="00566883">
            <w:pPr>
              <w:ind w:right="37"/>
              <w:jc w:val="both"/>
              <w:rPr>
                <w:rFonts w:ascii="Arial" w:eastAsia="Calibri" w:hAnsi="Arial" w:cs="Arial"/>
                <w:szCs w:val="24"/>
              </w:rPr>
            </w:pPr>
          </w:p>
          <w:p w14:paraId="05527186" w14:textId="6B904ED3" w:rsidR="009A1DD3" w:rsidRDefault="008F420A" w:rsidP="00566883">
            <w:pPr>
              <w:ind w:right="37"/>
              <w:jc w:val="both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HLH </w:t>
            </w:r>
            <w:r w:rsidR="00A9077C">
              <w:rPr>
                <w:rFonts w:ascii="Arial" w:eastAsia="Calibri" w:hAnsi="Arial" w:cs="Arial"/>
                <w:szCs w:val="24"/>
              </w:rPr>
              <w:t xml:space="preserve">provides managers with comprehensive </w:t>
            </w:r>
            <w:r w:rsidR="00641422">
              <w:rPr>
                <w:rFonts w:ascii="Arial" w:eastAsia="Calibri" w:hAnsi="Arial" w:cs="Arial"/>
                <w:szCs w:val="24"/>
              </w:rPr>
              <w:t xml:space="preserve">Absence Management </w:t>
            </w:r>
            <w:r w:rsidR="00A9077C">
              <w:rPr>
                <w:rFonts w:ascii="Arial" w:eastAsia="Calibri" w:hAnsi="Arial" w:cs="Arial"/>
                <w:szCs w:val="24"/>
              </w:rPr>
              <w:t>guidelines</w:t>
            </w:r>
            <w:r>
              <w:rPr>
                <w:rFonts w:ascii="Arial" w:eastAsia="Calibri" w:hAnsi="Arial" w:cs="Arial"/>
                <w:szCs w:val="24"/>
              </w:rPr>
              <w:t xml:space="preserve"> </w:t>
            </w:r>
            <w:r w:rsidR="00551B42">
              <w:rPr>
                <w:rFonts w:ascii="Arial" w:eastAsia="Calibri" w:hAnsi="Arial" w:cs="Arial"/>
                <w:szCs w:val="24"/>
              </w:rPr>
              <w:t>which should be followed</w:t>
            </w:r>
            <w:r w:rsidR="00D94195">
              <w:rPr>
                <w:rFonts w:ascii="Arial" w:eastAsia="Calibri" w:hAnsi="Arial" w:cs="Arial"/>
                <w:szCs w:val="24"/>
              </w:rPr>
              <w:t>,</w:t>
            </w:r>
            <w:r w:rsidR="00551B42">
              <w:rPr>
                <w:rFonts w:ascii="Arial" w:eastAsia="Calibri" w:hAnsi="Arial" w:cs="Arial"/>
                <w:szCs w:val="24"/>
              </w:rPr>
              <w:t xml:space="preserve"> </w:t>
            </w:r>
            <w:r w:rsidR="00BF47F4">
              <w:rPr>
                <w:rFonts w:ascii="Arial" w:eastAsia="Calibri" w:hAnsi="Arial" w:cs="Arial"/>
                <w:szCs w:val="24"/>
              </w:rPr>
              <w:t>before, during and after</w:t>
            </w:r>
            <w:r w:rsidR="003731EF">
              <w:rPr>
                <w:rFonts w:ascii="Arial" w:eastAsia="Calibri" w:hAnsi="Arial" w:cs="Arial"/>
                <w:szCs w:val="24"/>
              </w:rPr>
              <w:t xml:space="preserve"> any</w:t>
            </w:r>
            <w:r w:rsidR="001E0921">
              <w:rPr>
                <w:rFonts w:ascii="Arial" w:eastAsia="Calibri" w:hAnsi="Arial" w:cs="Arial"/>
                <w:szCs w:val="24"/>
              </w:rPr>
              <w:t xml:space="preserve"> absence</w:t>
            </w:r>
            <w:r w:rsidR="00303A9B">
              <w:rPr>
                <w:rFonts w:ascii="Arial" w:eastAsia="Calibri" w:hAnsi="Arial" w:cs="Arial"/>
                <w:szCs w:val="24"/>
              </w:rPr>
              <w:t>.</w:t>
            </w:r>
          </w:p>
          <w:p w14:paraId="60E2CBE2" w14:textId="46D9C45F" w:rsidR="00303A9B" w:rsidRPr="00251216" w:rsidRDefault="00303A9B" w:rsidP="00566883">
            <w:pPr>
              <w:ind w:right="37"/>
              <w:jc w:val="both"/>
              <w:rPr>
                <w:rFonts w:ascii="Arial" w:eastAsia="Calibri" w:hAnsi="Arial" w:cs="Arial"/>
                <w:szCs w:val="24"/>
              </w:rPr>
            </w:pPr>
          </w:p>
        </w:tc>
      </w:tr>
      <w:tr w:rsidR="00CE6306" w:rsidRPr="00A90AA3" w14:paraId="5FA55851" w14:textId="77777777" w:rsidTr="006D308B">
        <w:trPr>
          <w:gridAfter w:val="2"/>
          <w:wAfter w:w="283" w:type="dxa"/>
        </w:trPr>
        <w:tc>
          <w:tcPr>
            <w:tcW w:w="1134" w:type="dxa"/>
          </w:tcPr>
          <w:p w14:paraId="46603657" w14:textId="25498AA6" w:rsidR="005F28F6" w:rsidRDefault="00860725" w:rsidP="005748FE">
            <w:pPr>
              <w:pStyle w:val="NoSpacing"/>
            </w:pPr>
            <w:r>
              <w:t>4.2.1</w:t>
            </w:r>
          </w:p>
        </w:tc>
        <w:tc>
          <w:tcPr>
            <w:tcW w:w="8857" w:type="dxa"/>
            <w:gridSpan w:val="2"/>
          </w:tcPr>
          <w:p w14:paraId="5C373757" w14:textId="6436D490" w:rsidR="005F28F6" w:rsidRDefault="00093D33" w:rsidP="00566883">
            <w:pPr>
              <w:ind w:right="37"/>
              <w:jc w:val="both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Through the guidelines, </w:t>
            </w:r>
            <w:r w:rsidR="00CC2031">
              <w:rPr>
                <w:rFonts w:ascii="Arial" w:eastAsia="Calibri" w:hAnsi="Arial" w:cs="Arial"/>
                <w:szCs w:val="24"/>
              </w:rPr>
              <w:t xml:space="preserve">managers are advised to review employee absence records </w:t>
            </w:r>
            <w:r w:rsidR="00F81BB3">
              <w:rPr>
                <w:rFonts w:ascii="Arial" w:eastAsia="Calibri" w:hAnsi="Arial" w:cs="Arial"/>
                <w:szCs w:val="24"/>
              </w:rPr>
              <w:t xml:space="preserve">at </w:t>
            </w:r>
            <w:r w:rsidR="00F279E1">
              <w:rPr>
                <w:rFonts w:ascii="Arial" w:eastAsia="Calibri" w:hAnsi="Arial" w:cs="Arial"/>
                <w:szCs w:val="24"/>
              </w:rPr>
              <w:t xml:space="preserve">least once a month, </w:t>
            </w:r>
            <w:r w:rsidR="003E7916">
              <w:rPr>
                <w:rFonts w:ascii="Arial" w:eastAsia="Calibri" w:hAnsi="Arial" w:cs="Arial"/>
                <w:szCs w:val="24"/>
              </w:rPr>
              <w:t>to assess</w:t>
            </w:r>
            <w:r w:rsidR="00524EB1">
              <w:rPr>
                <w:rFonts w:ascii="Arial" w:eastAsia="Calibri" w:hAnsi="Arial" w:cs="Arial"/>
                <w:szCs w:val="24"/>
              </w:rPr>
              <w:t>:</w:t>
            </w:r>
          </w:p>
          <w:p w14:paraId="74FC8879" w14:textId="77777777" w:rsidR="00193E2A" w:rsidRDefault="00193E2A" w:rsidP="00566883">
            <w:pPr>
              <w:ind w:right="37"/>
              <w:jc w:val="both"/>
              <w:rPr>
                <w:rFonts w:ascii="Arial" w:eastAsia="Calibri" w:hAnsi="Arial" w:cs="Arial"/>
                <w:szCs w:val="24"/>
              </w:rPr>
            </w:pPr>
          </w:p>
          <w:p w14:paraId="5EDF4CCD" w14:textId="77777777" w:rsidR="003E7916" w:rsidRPr="008F2838" w:rsidRDefault="007F2A55" w:rsidP="00193E2A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601" w:right="40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38">
              <w:rPr>
                <w:rFonts w:ascii="Arial" w:hAnsi="Arial" w:cs="Arial"/>
                <w:sz w:val="24"/>
                <w:szCs w:val="24"/>
              </w:rPr>
              <w:t>Cost and rate of absence to the service</w:t>
            </w:r>
          </w:p>
          <w:p w14:paraId="0C76E99F" w14:textId="77777777" w:rsidR="007F2A55" w:rsidRPr="008F2838" w:rsidRDefault="007F2A55" w:rsidP="00193E2A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601" w:right="40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38">
              <w:rPr>
                <w:rFonts w:ascii="Arial" w:hAnsi="Arial" w:cs="Arial"/>
                <w:sz w:val="24"/>
                <w:szCs w:val="24"/>
              </w:rPr>
              <w:t>Patterns of absence</w:t>
            </w:r>
          </w:p>
          <w:p w14:paraId="2D63DAC0" w14:textId="77777777" w:rsidR="007F2A55" w:rsidRPr="008F2838" w:rsidRDefault="007F2A55" w:rsidP="00193E2A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601" w:right="40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2838">
              <w:rPr>
                <w:rFonts w:ascii="Arial" w:hAnsi="Arial" w:cs="Arial"/>
                <w:sz w:val="24"/>
                <w:szCs w:val="24"/>
              </w:rPr>
              <w:t>Absences which are a cause for concern</w:t>
            </w:r>
          </w:p>
          <w:p w14:paraId="74118843" w14:textId="72FEAA0A" w:rsidR="007F2A55" w:rsidRPr="00DA5412" w:rsidRDefault="007F2A55" w:rsidP="00193E2A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601" w:right="40" w:hanging="567"/>
              <w:jc w:val="both"/>
              <w:rPr>
                <w:rFonts w:ascii="Arial" w:hAnsi="Arial" w:cs="Arial"/>
                <w:szCs w:val="24"/>
              </w:rPr>
            </w:pPr>
            <w:r w:rsidRPr="008F2838">
              <w:rPr>
                <w:rFonts w:ascii="Arial" w:hAnsi="Arial" w:cs="Arial"/>
                <w:sz w:val="24"/>
                <w:szCs w:val="24"/>
              </w:rPr>
              <w:t xml:space="preserve">Absences </w:t>
            </w:r>
            <w:r w:rsidR="00DA5412" w:rsidRPr="008F2838">
              <w:rPr>
                <w:rFonts w:ascii="Arial" w:hAnsi="Arial" w:cs="Arial"/>
                <w:sz w:val="24"/>
                <w:szCs w:val="24"/>
              </w:rPr>
              <w:t xml:space="preserve">where the employer might </w:t>
            </w:r>
            <w:proofErr w:type="gramStart"/>
            <w:r w:rsidR="00DA5412" w:rsidRPr="008F2838">
              <w:rPr>
                <w:rFonts w:ascii="Arial" w:hAnsi="Arial" w:cs="Arial"/>
                <w:sz w:val="24"/>
                <w:szCs w:val="24"/>
              </w:rPr>
              <w:t>offer assistance</w:t>
            </w:r>
            <w:proofErr w:type="gramEnd"/>
            <w:r w:rsidR="00DA5412" w:rsidRPr="008F28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D05D0" w:rsidRPr="00A90AA3" w14:paraId="46DB3E3B" w14:textId="77777777" w:rsidTr="006D308B">
        <w:trPr>
          <w:gridAfter w:val="2"/>
          <w:wAfter w:w="283" w:type="dxa"/>
          <w:trHeight w:val="4111"/>
        </w:trPr>
        <w:tc>
          <w:tcPr>
            <w:tcW w:w="1134" w:type="dxa"/>
          </w:tcPr>
          <w:p w14:paraId="5D1D8FB2" w14:textId="60B366EE" w:rsidR="00C3292A" w:rsidRDefault="0008193A" w:rsidP="005748FE">
            <w:pPr>
              <w:pStyle w:val="NoSpacing"/>
            </w:pPr>
            <w:r>
              <w:lastRenderedPageBreak/>
              <w:t>4.2.</w:t>
            </w:r>
            <w:r w:rsidR="009A0143">
              <w:t>2</w:t>
            </w:r>
          </w:p>
          <w:p w14:paraId="75E31EA3" w14:textId="77777777" w:rsidR="00E802FE" w:rsidRDefault="00E802FE" w:rsidP="005748FE">
            <w:pPr>
              <w:pStyle w:val="NoSpacing"/>
            </w:pPr>
          </w:p>
          <w:p w14:paraId="21DDDE55" w14:textId="77777777" w:rsidR="00E802FE" w:rsidRDefault="00E802FE" w:rsidP="005748FE">
            <w:pPr>
              <w:pStyle w:val="NoSpacing"/>
            </w:pPr>
          </w:p>
          <w:p w14:paraId="724FE885" w14:textId="7BE0A675" w:rsidR="00E802FE" w:rsidRDefault="008D257A" w:rsidP="005748FE">
            <w:pPr>
              <w:pStyle w:val="NoSpacing"/>
            </w:pPr>
            <w:r>
              <w:t>4.2.3</w:t>
            </w:r>
          </w:p>
          <w:p w14:paraId="0E4CB85B" w14:textId="77777777" w:rsidR="008D257A" w:rsidRDefault="008D257A" w:rsidP="005748FE">
            <w:pPr>
              <w:pStyle w:val="NoSpacing"/>
            </w:pPr>
          </w:p>
          <w:p w14:paraId="2964B530" w14:textId="77777777" w:rsidR="008D257A" w:rsidRDefault="008D257A" w:rsidP="005748FE">
            <w:pPr>
              <w:pStyle w:val="NoSpacing"/>
            </w:pPr>
          </w:p>
          <w:p w14:paraId="04A95CD1" w14:textId="77777777" w:rsidR="00F0048F" w:rsidRDefault="00F0048F" w:rsidP="005748FE">
            <w:pPr>
              <w:pStyle w:val="NoSpacing"/>
            </w:pPr>
          </w:p>
          <w:p w14:paraId="49ECE877" w14:textId="564087DF" w:rsidR="008D257A" w:rsidRDefault="008D257A" w:rsidP="005748FE">
            <w:pPr>
              <w:pStyle w:val="NoSpacing"/>
            </w:pPr>
            <w:r>
              <w:t>4.2.4</w:t>
            </w:r>
          </w:p>
          <w:p w14:paraId="04B0EE98" w14:textId="77777777" w:rsidR="008D257A" w:rsidRDefault="008D257A" w:rsidP="005748FE">
            <w:pPr>
              <w:pStyle w:val="NoSpacing"/>
            </w:pPr>
          </w:p>
          <w:p w14:paraId="35E34E38" w14:textId="77777777" w:rsidR="008D257A" w:rsidRDefault="008D257A" w:rsidP="005748FE">
            <w:pPr>
              <w:pStyle w:val="NoSpacing"/>
            </w:pPr>
          </w:p>
          <w:p w14:paraId="07E8FF9D" w14:textId="175401B4" w:rsidR="008D257A" w:rsidRDefault="008D257A" w:rsidP="005748FE">
            <w:pPr>
              <w:pStyle w:val="NoSpacing"/>
            </w:pPr>
            <w:r>
              <w:t>4.2.5</w:t>
            </w:r>
          </w:p>
          <w:p w14:paraId="2EE3AFE9" w14:textId="77777777" w:rsidR="00E802FE" w:rsidRDefault="00E802FE" w:rsidP="005748FE">
            <w:pPr>
              <w:pStyle w:val="NoSpacing"/>
            </w:pPr>
          </w:p>
          <w:p w14:paraId="39CB2342" w14:textId="79EB2EAE" w:rsidR="00E802FE" w:rsidRDefault="00E802FE" w:rsidP="005748FE">
            <w:pPr>
              <w:pStyle w:val="NoSpacing"/>
            </w:pPr>
          </w:p>
        </w:tc>
        <w:tc>
          <w:tcPr>
            <w:tcW w:w="8857" w:type="dxa"/>
            <w:gridSpan w:val="2"/>
          </w:tcPr>
          <w:p w14:paraId="04040762" w14:textId="59C156BC" w:rsidR="00C3292A" w:rsidRDefault="00C3292A" w:rsidP="005549A9">
            <w:pPr>
              <w:ind w:right="37"/>
              <w:jc w:val="both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Managers are responsible for recording</w:t>
            </w:r>
            <w:r w:rsidR="000C58AB">
              <w:rPr>
                <w:rFonts w:ascii="Arial" w:eastAsia="Calibri" w:hAnsi="Arial" w:cs="Arial"/>
                <w:szCs w:val="24"/>
              </w:rPr>
              <w:t xml:space="preserve"> </w:t>
            </w:r>
            <w:r w:rsidR="006622D8">
              <w:rPr>
                <w:rFonts w:ascii="Arial" w:eastAsia="Calibri" w:hAnsi="Arial" w:cs="Arial"/>
                <w:szCs w:val="24"/>
              </w:rPr>
              <w:t xml:space="preserve">and monitoring </w:t>
            </w:r>
            <w:r w:rsidR="000C58AB">
              <w:rPr>
                <w:rFonts w:ascii="Arial" w:eastAsia="Calibri" w:hAnsi="Arial" w:cs="Arial"/>
                <w:szCs w:val="24"/>
              </w:rPr>
              <w:t>any absence from work</w:t>
            </w:r>
            <w:r w:rsidR="00A823A2">
              <w:rPr>
                <w:rFonts w:ascii="Arial" w:eastAsia="Calibri" w:hAnsi="Arial" w:cs="Arial"/>
                <w:szCs w:val="24"/>
              </w:rPr>
              <w:t xml:space="preserve">.  This information is collated centrally and submitted to THC for </w:t>
            </w:r>
            <w:r w:rsidR="00B90902">
              <w:rPr>
                <w:rFonts w:ascii="Arial" w:eastAsia="Calibri" w:hAnsi="Arial" w:cs="Arial"/>
                <w:szCs w:val="24"/>
              </w:rPr>
              <w:t>payroll purposes.</w:t>
            </w:r>
          </w:p>
          <w:p w14:paraId="5C46123C" w14:textId="77777777" w:rsidR="00B90902" w:rsidRDefault="00B90902" w:rsidP="005549A9">
            <w:pPr>
              <w:ind w:right="37"/>
              <w:jc w:val="both"/>
              <w:rPr>
                <w:rFonts w:ascii="Arial" w:eastAsia="Calibri" w:hAnsi="Arial" w:cs="Arial"/>
                <w:szCs w:val="24"/>
              </w:rPr>
            </w:pPr>
          </w:p>
          <w:p w14:paraId="30BD1F18" w14:textId="0029345F" w:rsidR="0033427C" w:rsidRDefault="00643541" w:rsidP="005549A9">
            <w:pPr>
              <w:ind w:right="37"/>
              <w:jc w:val="both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T</w:t>
            </w:r>
            <w:r w:rsidR="00B90902">
              <w:rPr>
                <w:rFonts w:ascii="Arial" w:eastAsia="Calibri" w:hAnsi="Arial" w:cs="Arial"/>
                <w:szCs w:val="24"/>
              </w:rPr>
              <w:t>he information supplied</w:t>
            </w:r>
            <w:r>
              <w:rPr>
                <w:rFonts w:ascii="Arial" w:eastAsia="Calibri" w:hAnsi="Arial" w:cs="Arial"/>
                <w:szCs w:val="24"/>
              </w:rPr>
              <w:t xml:space="preserve"> monthly</w:t>
            </w:r>
            <w:r w:rsidR="00B90902">
              <w:rPr>
                <w:rFonts w:ascii="Arial" w:eastAsia="Calibri" w:hAnsi="Arial" w:cs="Arial"/>
                <w:szCs w:val="24"/>
              </w:rPr>
              <w:t xml:space="preserve"> by managers</w:t>
            </w:r>
            <w:r w:rsidR="00FE400F">
              <w:rPr>
                <w:rFonts w:ascii="Arial" w:eastAsia="Calibri" w:hAnsi="Arial" w:cs="Arial"/>
                <w:szCs w:val="24"/>
              </w:rPr>
              <w:t xml:space="preserve">, </w:t>
            </w:r>
            <w:r w:rsidR="00E44A62">
              <w:rPr>
                <w:rFonts w:ascii="Arial" w:eastAsia="Calibri" w:hAnsi="Arial" w:cs="Arial"/>
                <w:szCs w:val="24"/>
              </w:rPr>
              <w:t xml:space="preserve">is </w:t>
            </w:r>
            <w:r w:rsidR="00AF2CE0">
              <w:rPr>
                <w:rFonts w:ascii="Arial" w:eastAsia="Calibri" w:hAnsi="Arial" w:cs="Arial"/>
                <w:szCs w:val="24"/>
              </w:rPr>
              <w:t xml:space="preserve">added to the </w:t>
            </w:r>
            <w:r w:rsidR="007655AE">
              <w:rPr>
                <w:rFonts w:ascii="Arial" w:eastAsia="Calibri" w:hAnsi="Arial" w:cs="Arial"/>
                <w:szCs w:val="24"/>
              </w:rPr>
              <w:t xml:space="preserve">central </w:t>
            </w:r>
            <w:r>
              <w:rPr>
                <w:rFonts w:ascii="Arial" w:eastAsia="Calibri" w:hAnsi="Arial" w:cs="Arial"/>
                <w:szCs w:val="24"/>
              </w:rPr>
              <w:t>monitoring</w:t>
            </w:r>
            <w:r w:rsidR="00AF2CE0">
              <w:rPr>
                <w:rFonts w:ascii="Arial" w:eastAsia="Calibri" w:hAnsi="Arial" w:cs="Arial"/>
                <w:szCs w:val="24"/>
              </w:rPr>
              <w:t xml:space="preserve"> </w:t>
            </w:r>
            <w:r w:rsidR="00FF4AFC">
              <w:rPr>
                <w:rFonts w:ascii="Arial" w:eastAsia="Calibri" w:hAnsi="Arial" w:cs="Arial"/>
                <w:szCs w:val="24"/>
              </w:rPr>
              <w:t xml:space="preserve">spreadsheet </w:t>
            </w:r>
            <w:r w:rsidR="00E23581">
              <w:rPr>
                <w:rFonts w:ascii="Arial" w:eastAsia="Calibri" w:hAnsi="Arial" w:cs="Arial"/>
                <w:szCs w:val="24"/>
              </w:rPr>
              <w:t xml:space="preserve">where a process known as </w:t>
            </w:r>
            <w:r w:rsidR="00FE400F">
              <w:rPr>
                <w:rFonts w:ascii="Arial" w:eastAsia="Calibri" w:hAnsi="Arial" w:cs="Arial"/>
                <w:szCs w:val="24"/>
              </w:rPr>
              <w:t xml:space="preserve">the </w:t>
            </w:r>
            <w:r w:rsidR="0033427C">
              <w:rPr>
                <w:rFonts w:ascii="Arial" w:eastAsia="Calibri" w:hAnsi="Arial" w:cs="Arial"/>
                <w:szCs w:val="24"/>
              </w:rPr>
              <w:t>‘</w:t>
            </w:r>
            <w:r w:rsidR="00FE400F">
              <w:rPr>
                <w:rFonts w:ascii="Arial" w:eastAsia="Calibri" w:hAnsi="Arial" w:cs="Arial"/>
                <w:szCs w:val="24"/>
              </w:rPr>
              <w:t>Bradford Factor</w:t>
            </w:r>
            <w:r w:rsidR="0033427C">
              <w:rPr>
                <w:rFonts w:ascii="Arial" w:eastAsia="Calibri" w:hAnsi="Arial" w:cs="Arial"/>
                <w:szCs w:val="24"/>
              </w:rPr>
              <w:t>’ is applied</w:t>
            </w:r>
            <w:r w:rsidR="00AF2CE0">
              <w:rPr>
                <w:rFonts w:ascii="Arial" w:eastAsia="Calibri" w:hAnsi="Arial" w:cs="Arial"/>
                <w:szCs w:val="24"/>
              </w:rPr>
              <w:t xml:space="preserve"> </w:t>
            </w:r>
            <w:r w:rsidR="009D6B1B">
              <w:rPr>
                <w:rFonts w:ascii="Arial" w:eastAsia="Calibri" w:hAnsi="Arial" w:cs="Arial"/>
                <w:szCs w:val="24"/>
              </w:rPr>
              <w:t>for each employee who has been absent from work</w:t>
            </w:r>
            <w:r w:rsidR="00AF2CE0">
              <w:rPr>
                <w:rFonts w:ascii="Arial" w:eastAsia="Calibri" w:hAnsi="Arial" w:cs="Arial"/>
                <w:szCs w:val="24"/>
              </w:rPr>
              <w:t>.</w:t>
            </w:r>
            <w:r w:rsidR="0092070B">
              <w:rPr>
                <w:rFonts w:ascii="Arial" w:eastAsia="Calibri" w:hAnsi="Arial" w:cs="Arial"/>
                <w:szCs w:val="24"/>
              </w:rPr>
              <w:t xml:space="preserve">  </w:t>
            </w:r>
          </w:p>
          <w:p w14:paraId="28EF8DCD" w14:textId="77777777" w:rsidR="00806700" w:rsidRDefault="00806700" w:rsidP="005549A9">
            <w:pPr>
              <w:ind w:right="37"/>
              <w:jc w:val="both"/>
              <w:rPr>
                <w:rFonts w:ascii="Arial" w:eastAsia="Calibri" w:hAnsi="Arial" w:cs="Arial"/>
                <w:szCs w:val="24"/>
              </w:rPr>
            </w:pPr>
          </w:p>
          <w:p w14:paraId="5108FB96" w14:textId="1E2FA563" w:rsidR="00806700" w:rsidRDefault="00806700" w:rsidP="005549A9">
            <w:pPr>
              <w:ind w:right="37"/>
              <w:jc w:val="both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The Bradford factor uses a formula </w:t>
            </w:r>
            <w:r w:rsidR="00DF457D">
              <w:rPr>
                <w:rFonts w:ascii="Arial" w:eastAsia="Calibri" w:hAnsi="Arial" w:cs="Arial"/>
                <w:szCs w:val="24"/>
              </w:rPr>
              <w:t xml:space="preserve">based on the </w:t>
            </w:r>
            <w:r w:rsidR="00333A9A">
              <w:rPr>
                <w:rFonts w:ascii="Arial" w:eastAsia="Calibri" w:hAnsi="Arial" w:cs="Arial"/>
                <w:szCs w:val="24"/>
              </w:rPr>
              <w:t xml:space="preserve">number of periods, and the number of days absent in a particular period – giving the employee ‘a </w:t>
            </w:r>
            <w:r w:rsidR="00640214">
              <w:rPr>
                <w:rFonts w:ascii="Arial" w:eastAsia="Calibri" w:hAnsi="Arial" w:cs="Arial"/>
                <w:szCs w:val="24"/>
              </w:rPr>
              <w:t xml:space="preserve">factor </w:t>
            </w:r>
            <w:r w:rsidR="00333A9A">
              <w:rPr>
                <w:rFonts w:ascii="Arial" w:eastAsia="Calibri" w:hAnsi="Arial" w:cs="Arial"/>
                <w:szCs w:val="24"/>
              </w:rPr>
              <w:t>score’.</w:t>
            </w:r>
          </w:p>
          <w:p w14:paraId="46886904" w14:textId="77777777" w:rsidR="0033427C" w:rsidRDefault="0033427C" w:rsidP="005549A9">
            <w:pPr>
              <w:ind w:right="37"/>
              <w:jc w:val="both"/>
              <w:rPr>
                <w:rFonts w:ascii="Arial" w:eastAsia="Calibri" w:hAnsi="Arial" w:cs="Arial"/>
                <w:szCs w:val="24"/>
              </w:rPr>
            </w:pPr>
          </w:p>
          <w:p w14:paraId="411467B4" w14:textId="21F5429C" w:rsidR="008D257A" w:rsidRPr="008D257A" w:rsidRDefault="0092070B" w:rsidP="005549A9">
            <w:pPr>
              <w:ind w:right="37"/>
              <w:jc w:val="both"/>
              <w:rPr>
                <w:rFonts w:ascii="Arial" w:eastAsia="Calibri" w:hAnsi="Arial" w:cs="Arial"/>
                <w:lang w:val="en" w:eastAsia="en-US"/>
              </w:rPr>
            </w:pPr>
            <w:r>
              <w:rPr>
                <w:rFonts w:ascii="Arial" w:eastAsia="Calibri" w:hAnsi="Arial" w:cs="Arial"/>
                <w:szCs w:val="24"/>
              </w:rPr>
              <w:t>This is provided to assist managers</w:t>
            </w:r>
            <w:r w:rsidR="00641A83">
              <w:rPr>
                <w:rFonts w:ascii="Arial" w:eastAsia="Calibri" w:hAnsi="Arial" w:cs="Arial"/>
                <w:szCs w:val="24"/>
              </w:rPr>
              <w:t xml:space="preserve"> in determining whether or not an employee’s attendance record</w:t>
            </w:r>
            <w:r w:rsidR="00CD5F8E">
              <w:rPr>
                <w:rFonts w:ascii="Arial" w:eastAsia="Calibri" w:hAnsi="Arial" w:cs="Arial"/>
                <w:szCs w:val="24"/>
              </w:rPr>
              <w:t xml:space="preserve"> requires further action.</w:t>
            </w:r>
            <w:r w:rsidR="008E65E2">
              <w:rPr>
                <w:rFonts w:ascii="Arial" w:eastAsia="Calibri" w:hAnsi="Arial" w:cs="Arial"/>
                <w:szCs w:val="24"/>
              </w:rPr>
              <w:t xml:space="preserve">  </w:t>
            </w:r>
            <w:r w:rsidR="00A40EBE" w:rsidRPr="00557F01">
              <w:rPr>
                <w:rFonts w:ascii="Arial" w:hAnsi="Arial" w:cs="Arial"/>
                <w:lang w:val="en" w:eastAsia="en-US"/>
              </w:rPr>
              <w:t xml:space="preserve">However, it should be noted that these figures only consider the </w:t>
            </w:r>
            <w:r w:rsidR="00A40EBE">
              <w:rPr>
                <w:rFonts w:ascii="Arial" w:hAnsi="Arial" w:cs="Arial"/>
                <w:lang w:val="en" w:eastAsia="en-US"/>
              </w:rPr>
              <w:t xml:space="preserve">previous 12 </w:t>
            </w:r>
            <w:r w:rsidR="005003F6">
              <w:rPr>
                <w:rFonts w:ascii="Arial" w:hAnsi="Arial" w:cs="Arial"/>
                <w:lang w:val="en" w:eastAsia="en-US"/>
              </w:rPr>
              <w:t>months</w:t>
            </w:r>
            <w:r w:rsidR="005003F6" w:rsidRPr="00557F01">
              <w:rPr>
                <w:rFonts w:ascii="Arial" w:hAnsi="Arial" w:cs="Arial"/>
                <w:lang w:val="en" w:eastAsia="en-US"/>
              </w:rPr>
              <w:t xml:space="preserve"> and</w:t>
            </w:r>
            <w:r w:rsidR="00A40EBE" w:rsidRPr="00557F01">
              <w:rPr>
                <w:rFonts w:ascii="Arial" w:hAnsi="Arial" w:cs="Arial"/>
                <w:lang w:val="en" w:eastAsia="en-US"/>
              </w:rPr>
              <w:t xml:space="preserve"> are only one tool for attendance management.</w:t>
            </w:r>
          </w:p>
        </w:tc>
      </w:tr>
      <w:tr w:rsidR="00CE6306" w:rsidRPr="00A90AA3" w14:paraId="1060C792" w14:textId="77777777" w:rsidTr="006D308B">
        <w:trPr>
          <w:gridAfter w:val="2"/>
          <w:wAfter w:w="283" w:type="dxa"/>
        </w:trPr>
        <w:tc>
          <w:tcPr>
            <w:tcW w:w="1134" w:type="dxa"/>
          </w:tcPr>
          <w:p w14:paraId="2B4002CA" w14:textId="07ED0171" w:rsidR="00E631DA" w:rsidRDefault="008D257A" w:rsidP="005748FE">
            <w:pPr>
              <w:pStyle w:val="NoSpacing"/>
            </w:pPr>
            <w:r>
              <w:t>4.2.6</w:t>
            </w:r>
          </w:p>
        </w:tc>
        <w:tc>
          <w:tcPr>
            <w:tcW w:w="8857" w:type="dxa"/>
            <w:gridSpan w:val="2"/>
          </w:tcPr>
          <w:p w14:paraId="51B7B9D3" w14:textId="19232F68" w:rsidR="00E631DA" w:rsidRPr="00A1255D" w:rsidRDefault="00E631DA" w:rsidP="00566883">
            <w:pPr>
              <w:overflowPunct w:val="0"/>
              <w:autoSpaceDE w:val="0"/>
              <w:autoSpaceDN w:val="0"/>
              <w:adjustRightInd w:val="0"/>
              <w:ind w:right="37"/>
              <w:jc w:val="both"/>
              <w:textAlignment w:val="baseline"/>
              <w:rPr>
                <w:rFonts w:ascii="Arial" w:hAnsi="Arial" w:cs="Arial"/>
                <w:szCs w:val="24"/>
                <w:lang w:val="en" w:eastAsia="en-US"/>
              </w:rPr>
            </w:pPr>
            <w:r w:rsidRPr="00A1255D">
              <w:rPr>
                <w:rFonts w:ascii="Arial" w:hAnsi="Arial" w:cs="Arial"/>
                <w:szCs w:val="24"/>
                <w:lang w:val="en" w:eastAsia="en-US"/>
              </w:rPr>
              <w:t xml:space="preserve">Managers are </w:t>
            </w:r>
            <w:r w:rsidR="00D35D7F" w:rsidRPr="00A1255D">
              <w:rPr>
                <w:rFonts w:ascii="Arial" w:hAnsi="Arial" w:cs="Arial"/>
                <w:szCs w:val="24"/>
                <w:lang w:val="en" w:eastAsia="en-US"/>
              </w:rPr>
              <w:t>advised</w:t>
            </w:r>
            <w:r w:rsidRPr="00A1255D">
              <w:rPr>
                <w:rFonts w:ascii="Arial" w:hAnsi="Arial" w:cs="Arial"/>
                <w:szCs w:val="24"/>
                <w:lang w:val="en" w:eastAsia="en-US"/>
              </w:rPr>
              <w:t xml:space="preserve"> to</w:t>
            </w:r>
            <w:r w:rsidR="00D35D7F" w:rsidRPr="00A1255D">
              <w:rPr>
                <w:rFonts w:ascii="Arial" w:hAnsi="Arial" w:cs="Arial"/>
                <w:szCs w:val="24"/>
                <w:lang w:val="en" w:eastAsia="en-US"/>
              </w:rPr>
              <w:t xml:space="preserve"> carry out return to work interviews</w:t>
            </w:r>
            <w:r w:rsidR="00F32517" w:rsidRPr="00A1255D">
              <w:rPr>
                <w:rFonts w:ascii="Arial" w:hAnsi="Arial" w:cs="Arial"/>
                <w:szCs w:val="24"/>
                <w:lang w:val="en" w:eastAsia="en-US"/>
              </w:rPr>
              <w:t xml:space="preserve"> for all absences and this </w:t>
            </w:r>
            <w:r w:rsidR="008523C4">
              <w:rPr>
                <w:rFonts w:ascii="Arial" w:hAnsi="Arial" w:cs="Arial"/>
                <w:szCs w:val="24"/>
                <w:lang w:val="en" w:eastAsia="en-US"/>
              </w:rPr>
              <w:t xml:space="preserve">should </w:t>
            </w:r>
            <w:r w:rsidR="00F32517" w:rsidRPr="00A1255D">
              <w:rPr>
                <w:rFonts w:ascii="Arial" w:hAnsi="Arial" w:cs="Arial"/>
                <w:szCs w:val="24"/>
                <w:lang w:val="en" w:eastAsia="en-US"/>
              </w:rPr>
              <w:t>allow for emerging patte</w:t>
            </w:r>
            <w:r w:rsidR="003D6641" w:rsidRPr="00A1255D">
              <w:rPr>
                <w:rFonts w:ascii="Arial" w:hAnsi="Arial" w:cs="Arial"/>
                <w:szCs w:val="24"/>
                <w:lang w:val="en" w:eastAsia="en-US"/>
              </w:rPr>
              <w:t>r</w:t>
            </w:r>
            <w:r w:rsidR="00F32517" w:rsidRPr="00A1255D">
              <w:rPr>
                <w:rFonts w:ascii="Arial" w:hAnsi="Arial" w:cs="Arial"/>
                <w:szCs w:val="24"/>
                <w:lang w:val="en" w:eastAsia="en-US"/>
              </w:rPr>
              <w:t xml:space="preserve">ns to </w:t>
            </w:r>
            <w:r w:rsidR="006B285D">
              <w:rPr>
                <w:rFonts w:ascii="Arial" w:hAnsi="Arial" w:cs="Arial"/>
                <w:szCs w:val="24"/>
                <w:lang w:val="en" w:eastAsia="en-US"/>
              </w:rPr>
              <w:t xml:space="preserve">initially </w:t>
            </w:r>
            <w:r w:rsidR="00F32517" w:rsidRPr="00A1255D">
              <w:rPr>
                <w:rFonts w:ascii="Arial" w:hAnsi="Arial" w:cs="Arial"/>
                <w:szCs w:val="24"/>
                <w:lang w:val="en" w:eastAsia="en-US"/>
              </w:rPr>
              <w:t>be dealt with informally</w:t>
            </w:r>
            <w:r w:rsidR="006B285D">
              <w:rPr>
                <w:rFonts w:ascii="Arial" w:hAnsi="Arial" w:cs="Arial"/>
                <w:szCs w:val="24"/>
                <w:lang w:val="en" w:eastAsia="en-US"/>
              </w:rPr>
              <w:t>.</w:t>
            </w:r>
            <w:r w:rsidR="00D841BE" w:rsidRPr="00A1255D">
              <w:rPr>
                <w:rFonts w:ascii="Arial" w:hAnsi="Arial" w:cs="Arial"/>
                <w:szCs w:val="24"/>
                <w:lang w:val="en" w:eastAsia="en-US"/>
              </w:rPr>
              <w:t xml:space="preserve"> </w:t>
            </w:r>
            <w:r w:rsidR="003123A0">
              <w:rPr>
                <w:rFonts w:ascii="Arial" w:hAnsi="Arial" w:cs="Arial"/>
                <w:szCs w:val="24"/>
                <w:lang w:val="en" w:eastAsia="en-US"/>
              </w:rPr>
              <w:t xml:space="preserve">Information from the Bradford Factor </w:t>
            </w:r>
            <w:r w:rsidR="00E67D76">
              <w:rPr>
                <w:rFonts w:ascii="Arial" w:hAnsi="Arial" w:cs="Arial"/>
                <w:szCs w:val="24"/>
                <w:lang w:val="en" w:eastAsia="en-US"/>
              </w:rPr>
              <w:t xml:space="preserve">in </w:t>
            </w:r>
            <w:r w:rsidR="00F0048F">
              <w:rPr>
                <w:rFonts w:ascii="Arial" w:hAnsi="Arial" w:cs="Arial"/>
                <w:szCs w:val="24"/>
                <w:lang w:val="en" w:eastAsia="en-US"/>
              </w:rPr>
              <w:t>4.2.3</w:t>
            </w:r>
            <w:r w:rsidR="00E67D76">
              <w:rPr>
                <w:rFonts w:ascii="Arial" w:hAnsi="Arial" w:cs="Arial"/>
                <w:szCs w:val="24"/>
                <w:lang w:val="en" w:eastAsia="en-US"/>
              </w:rPr>
              <w:t xml:space="preserve"> should be </w:t>
            </w:r>
            <w:r w:rsidR="00032BF7">
              <w:rPr>
                <w:rFonts w:ascii="Arial" w:hAnsi="Arial" w:cs="Arial"/>
                <w:szCs w:val="24"/>
                <w:lang w:val="en" w:eastAsia="en-US"/>
              </w:rPr>
              <w:t xml:space="preserve">part of the wider </w:t>
            </w:r>
            <w:r w:rsidR="00D40284">
              <w:rPr>
                <w:rFonts w:ascii="Arial" w:hAnsi="Arial" w:cs="Arial"/>
                <w:szCs w:val="24"/>
                <w:lang w:val="en" w:eastAsia="en-US"/>
              </w:rPr>
              <w:t>discussions</w:t>
            </w:r>
            <w:r w:rsidR="009961BB">
              <w:rPr>
                <w:rFonts w:ascii="Arial" w:hAnsi="Arial" w:cs="Arial"/>
                <w:szCs w:val="24"/>
                <w:lang w:val="en" w:eastAsia="en-US"/>
              </w:rPr>
              <w:t xml:space="preserve">, but not relied on solely. </w:t>
            </w:r>
          </w:p>
        </w:tc>
      </w:tr>
      <w:tr w:rsidR="00CD05D0" w:rsidRPr="00A90AA3" w14:paraId="615FE793" w14:textId="77777777" w:rsidTr="006D308B">
        <w:trPr>
          <w:gridAfter w:val="2"/>
          <w:wAfter w:w="283" w:type="dxa"/>
        </w:trPr>
        <w:tc>
          <w:tcPr>
            <w:tcW w:w="1134" w:type="dxa"/>
          </w:tcPr>
          <w:p w14:paraId="43353EB4" w14:textId="77777777" w:rsidR="002B6146" w:rsidRDefault="002B6146" w:rsidP="005748FE">
            <w:pPr>
              <w:pStyle w:val="NoSpacing"/>
            </w:pPr>
          </w:p>
          <w:p w14:paraId="45C3C164" w14:textId="0C5A3CB1" w:rsidR="002B6146" w:rsidRDefault="008D257A" w:rsidP="005748FE">
            <w:pPr>
              <w:pStyle w:val="NoSpacing"/>
            </w:pPr>
            <w:r>
              <w:t>4.2.7</w:t>
            </w:r>
            <w:r w:rsidR="002B6146">
              <w:t xml:space="preserve">  </w:t>
            </w:r>
          </w:p>
        </w:tc>
        <w:tc>
          <w:tcPr>
            <w:tcW w:w="8857" w:type="dxa"/>
            <w:gridSpan w:val="2"/>
          </w:tcPr>
          <w:p w14:paraId="5C1AE1B3" w14:textId="77777777" w:rsidR="002B6146" w:rsidRDefault="002B6146" w:rsidP="00566883">
            <w:pPr>
              <w:overflowPunct w:val="0"/>
              <w:autoSpaceDE w:val="0"/>
              <w:autoSpaceDN w:val="0"/>
              <w:adjustRightInd w:val="0"/>
              <w:ind w:right="37"/>
              <w:jc w:val="both"/>
              <w:textAlignment w:val="baseline"/>
              <w:rPr>
                <w:rFonts w:ascii="Arial" w:hAnsi="Arial" w:cs="Arial"/>
                <w:szCs w:val="24"/>
                <w:lang w:val="en" w:eastAsia="en-US"/>
              </w:rPr>
            </w:pPr>
          </w:p>
          <w:p w14:paraId="2A34159F" w14:textId="7E8D9E9D" w:rsidR="009F62C7" w:rsidRDefault="00CB5194" w:rsidP="00566883">
            <w:pPr>
              <w:overflowPunct w:val="0"/>
              <w:autoSpaceDE w:val="0"/>
              <w:autoSpaceDN w:val="0"/>
              <w:adjustRightInd w:val="0"/>
              <w:ind w:right="37"/>
              <w:jc w:val="both"/>
              <w:textAlignment w:val="baseline"/>
              <w:rPr>
                <w:rFonts w:ascii="Arial" w:hAnsi="Arial" w:cs="Arial"/>
                <w:szCs w:val="24"/>
                <w:lang w:val="en" w:eastAsia="en-US"/>
              </w:rPr>
            </w:pPr>
            <w:r>
              <w:rPr>
                <w:rFonts w:ascii="Arial" w:hAnsi="Arial" w:cs="Arial"/>
                <w:szCs w:val="24"/>
                <w:lang w:val="en" w:eastAsia="en-US"/>
              </w:rPr>
              <w:t>When</w:t>
            </w:r>
            <w:r w:rsidR="004C50CF">
              <w:rPr>
                <w:rFonts w:ascii="Arial" w:hAnsi="Arial" w:cs="Arial"/>
                <w:szCs w:val="24"/>
                <w:lang w:val="en" w:eastAsia="en-US"/>
              </w:rPr>
              <w:t xml:space="preserve"> a pattern of frequent</w:t>
            </w:r>
            <w:r w:rsidR="008C12ED">
              <w:rPr>
                <w:rFonts w:ascii="Arial" w:hAnsi="Arial" w:cs="Arial"/>
                <w:szCs w:val="24"/>
                <w:lang w:val="en" w:eastAsia="en-US"/>
              </w:rPr>
              <w:t xml:space="preserve"> short</w:t>
            </w:r>
            <w:r w:rsidR="004C52E1">
              <w:rPr>
                <w:rFonts w:ascii="Arial" w:hAnsi="Arial" w:cs="Arial"/>
                <w:szCs w:val="24"/>
                <w:lang w:val="en" w:eastAsia="en-US"/>
              </w:rPr>
              <w:t>-</w:t>
            </w:r>
            <w:r w:rsidR="008C12ED">
              <w:rPr>
                <w:rFonts w:ascii="Arial" w:hAnsi="Arial" w:cs="Arial"/>
                <w:szCs w:val="24"/>
                <w:lang w:val="en" w:eastAsia="en-US"/>
              </w:rPr>
              <w:t>term absences is emerging and w</w:t>
            </w:r>
            <w:r w:rsidR="002B6146">
              <w:rPr>
                <w:rFonts w:ascii="Arial" w:hAnsi="Arial" w:cs="Arial"/>
                <w:szCs w:val="24"/>
                <w:lang w:val="en" w:eastAsia="en-US"/>
              </w:rPr>
              <w:t>here formal follow up is required</w:t>
            </w:r>
            <w:r w:rsidR="008C12ED">
              <w:rPr>
                <w:rFonts w:ascii="Arial" w:hAnsi="Arial" w:cs="Arial"/>
                <w:szCs w:val="24"/>
                <w:lang w:val="en" w:eastAsia="en-US"/>
              </w:rPr>
              <w:t>,</w:t>
            </w:r>
            <w:r w:rsidR="002B6146">
              <w:rPr>
                <w:rFonts w:ascii="Arial" w:hAnsi="Arial" w:cs="Arial"/>
                <w:szCs w:val="24"/>
                <w:lang w:val="en" w:eastAsia="en-US"/>
              </w:rPr>
              <w:t xml:space="preserve"> HR will support the manager in </w:t>
            </w:r>
            <w:r w:rsidR="008013A7">
              <w:rPr>
                <w:rFonts w:ascii="Arial" w:hAnsi="Arial" w:cs="Arial"/>
                <w:szCs w:val="24"/>
                <w:lang w:val="en" w:eastAsia="en-US"/>
              </w:rPr>
              <w:t>determining whether</w:t>
            </w:r>
            <w:r w:rsidR="00F5036C">
              <w:rPr>
                <w:rFonts w:ascii="Arial" w:hAnsi="Arial" w:cs="Arial"/>
                <w:szCs w:val="24"/>
                <w:lang w:val="en" w:eastAsia="en-US"/>
              </w:rPr>
              <w:t>:</w:t>
            </w:r>
          </w:p>
          <w:p w14:paraId="77B58074" w14:textId="6287EDF6" w:rsidR="006328CB" w:rsidRPr="00CC279A" w:rsidRDefault="008013A7" w:rsidP="00F5036C">
            <w:pPr>
              <w:pStyle w:val="ListParagraph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714" w:right="40" w:hanging="357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CC279A">
              <w:rPr>
                <w:rFonts w:ascii="Arial" w:hAnsi="Arial" w:cs="Arial"/>
                <w:sz w:val="24"/>
                <w:szCs w:val="24"/>
                <w:lang w:val="en"/>
              </w:rPr>
              <w:t xml:space="preserve">an Occupational Health referral </w:t>
            </w:r>
            <w:r w:rsidR="008C12ED" w:rsidRPr="00CC279A">
              <w:rPr>
                <w:rFonts w:ascii="Arial" w:hAnsi="Arial" w:cs="Arial"/>
                <w:sz w:val="24"/>
                <w:szCs w:val="24"/>
                <w:lang w:val="en"/>
              </w:rPr>
              <w:t>is</w:t>
            </w:r>
            <w:r w:rsidRPr="00CC279A">
              <w:rPr>
                <w:rFonts w:ascii="Arial" w:hAnsi="Arial" w:cs="Arial"/>
                <w:sz w:val="24"/>
                <w:szCs w:val="24"/>
                <w:lang w:val="en"/>
              </w:rPr>
              <w:t xml:space="preserve"> </w:t>
            </w:r>
            <w:proofErr w:type="gramStart"/>
            <w:r w:rsidRPr="00CC279A">
              <w:rPr>
                <w:rFonts w:ascii="Arial" w:hAnsi="Arial" w:cs="Arial"/>
                <w:sz w:val="24"/>
                <w:szCs w:val="24"/>
                <w:lang w:val="en"/>
              </w:rPr>
              <w:t>required</w:t>
            </w:r>
            <w:r w:rsidR="00CC279A" w:rsidRPr="00CC279A">
              <w:rPr>
                <w:rFonts w:ascii="Arial" w:hAnsi="Arial" w:cs="Arial"/>
                <w:sz w:val="24"/>
                <w:szCs w:val="24"/>
                <w:lang w:val="en"/>
              </w:rPr>
              <w:t>;</w:t>
            </w:r>
            <w:proofErr w:type="gramEnd"/>
          </w:p>
          <w:p w14:paraId="4B25217A" w14:textId="13C0E2B7" w:rsidR="00A37A5C" w:rsidRPr="00CC279A" w:rsidRDefault="008013A7" w:rsidP="00F5036C">
            <w:pPr>
              <w:pStyle w:val="ListParagraph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714" w:right="40" w:hanging="357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CC279A">
              <w:rPr>
                <w:rFonts w:ascii="Arial" w:hAnsi="Arial" w:cs="Arial"/>
                <w:sz w:val="24"/>
                <w:szCs w:val="24"/>
                <w:lang w:val="en"/>
              </w:rPr>
              <w:t>adjustment</w:t>
            </w:r>
            <w:r w:rsidR="00CF134D" w:rsidRPr="00CC279A">
              <w:rPr>
                <w:rFonts w:ascii="Arial" w:hAnsi="Arial" w:cs="Arial"/>
                <w:sz w:val="24"/>
                <w:szCs w:val="24"/>
                <w:lang w:val="en"/>
              </w:rPr>
              <w:t>s</w:t>
            </w:r>
            <w:r w:rsidRPr="00CC279A">
              <w:rPr>
                <w:rFonts w:ascii="Arial" w:hAnsi="Arial" w:cs="Arial"/>
                <w:sz w:val="24"/>
                <w:szCs w:val="24"/>
                <w:lang w:val="en"/>
              </w:rPr>
              <w:t xml:space="preserve"> </w:t>
            </w:r>
            <w:r w:rsidR="00A37A5C" w:rsidRPr="00CC279A">
              <w:rPr>
                <w:rFonts w:ascii="Arial" w:hAnsi="Arial" w:cs="Arial"/>
                <w:sz w:val="24"/>
                <w:szCs w:val="24"/>
                <w:lang w:val="en"/>
              </w:rPr>
              <w:t xml:space="preserve">need to </w:t>
            </w:r>
            <w:r w:rsidRPr="00CC279A">
              <w:rPr>
                <w:rFonts w:ascii="Arial" w:hAnsi="Arial" w:cs="Arial"/>
                <w:sz w:val="24"/>
                <w:szCs w:val="24"/>
                <w:lang w:val="en"/>
              </w:rPr>
              <w:t>be made</w:t>
            </w:r>
            <w:r w:rsidR="00CF134D" w:rsidRPr="00CC279A">
              <w:rPr>
                <w:rFonts w:ascii="Arial" w:hAnsi="Arial" w:cs="Arial"/>
                <w:sz w:val="24"/>
                <w:szCs w:val="24"/>
                <w:lang w:val="en"/>
              </w:rPr>
              <w:t xml:space="preserve"> to the workplace or work </w:t>
            </w:r>
            <w:proofErr w:type="gramStart"/>
            <w:r w:rsidR="00CF134D" w:rsidRPr="00CC279A">
              <w:rPr>
                <w:rFonts w:ascii="Arial" w:hAnsi="Arial" w:cs="Arial"/>
                <w:sz w:val="24"/>
                <w:szCs w:val="24"/>
                <w:lang w:val="en"/>
              </w:rPr>
              <w:t>pattern</w:t>
            </w:r>
            <w:r w:rsidR="00CC279A" w:rsidRPr="00CC279A">
              <w:rPr>
                <w:rFonts w:ascii="Arial" w:hAnsi="Arial" w:cs="Arial"/>
                <w:sz w:val="24"/>
                <w:szCs w:val="24"/>
                <w:lang w:val="en"/>
              </w:rPr>
              <w:t>;</w:t>
            </w:r>
            <w:proofErr w:type="gramEnd"/>
            <w:r w:rsidR="00CC279A" w:rsidRPr="00CC279A">
              <w:rPr>
                <w:rFonts w:ascii="Arial" w:hAnsi="Arial" w:cs="Arial"/>
                <w:sz w:val="24"/>
                <w:szCs w:val="24"/>
                <w:lang w:val="en"/>
              </w:rPr>
              <w:t xml:space="preserve"> </w:t>
            </w:r>
          </w:p>
          <w:p w14:paraId="4FC975A4" w14:textId="21EB16B9" w:rsidR="00CC279A" w:rsidRPr="00CC279A" w:rsidRDefault="009415FF" w:rsidP="00F5036C">
            <w:pPr>
              <w:pStyle w:val="ListParagraph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714" w:right="40" w:hanging="357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CC279A">
              <w:rPr>
                <w:rFonts w:ascii="Arial" w:hAnsi="Arial" w:cs="Arial"/>
                <w:sz w:val="24"/>
                <w:szCs w:val="24"/>
                <w:lang w:val="en"/>
              </w:rPr>
              <w:t xml:space="preserve">support </w:t>
            </w:r>
            <w:r w:rsidR="00243C2D" w:rsidRPr="00CC279A">
              <w:rPr>
                <w:rFonts w:ascii="Arial" w:hAnsi="Arial" w:cs="Arial"/>
                <w:sz w:val="24"/>
                <w:szCs w:val="24"/>
                <w:lang w:val="en"/>
              </w:rPr>
              <w:t xml:space="preserve">is required </w:t>
            </w:r>
            <w:r w:rsidR="00CF134D" w:rsidRPr="00CC279A">
              <w:rPr>
                <w:rFonts w:ascii="Arial" w:hAnsi="Arial" w:cs="Arial"/>
                <w:sz w:val="24"/>
                <w:szCs w:val="24"/>
                <w:lang w:val="en"/>
              </w:rPr>
              <w:t>through counselling</w:t>
            </w:r>
            <w:r w:rsidR="00CC279A" w:rsidRPr="00CC279A">
              <w:rPr>
                <w:rFonts w:ascii="Arial" w:hAnsi="Arial" w:cs="Arial"/>
                <w:sz w:val="24"/>
                <w:szCs w:val="24"/>
                <w:lang w:val="en"/>
              </w:rPr>
              <w:t>;</w:t>
            </w:r>
            <w:r w:rsidR="00F615EF" w:rsidRPr="00CC279A">
              <w:rPr>
                <w:rFonts w:ascii="Arial" w:hAnsi="Arial" w:cs="Arial"/>
                <w:sz w:val="24"/>
                <w:szCs w:val="24"/>
                <w:lang w:val="en"/>
              </w:rPr>
              <w:t xml:space="preserve"> </w:t>
            </w:r>
            <w:r w:rsidR="00243C2D" w:rsidRPr="00CC279A">
              <w:rPr>
                <w:rFonts w:ascii="Arial" w:hAnsi="Arial" w:cs="Arial"/>
                <w:sz w:val="24"/>
                <w:szCs w:val="24"/>
                <w:lang w:val="en"/>
              </w:rPr>
              <w:t xml:space="preserve">and </w:t>
            </w:r>
          </w:p>
          <w:p w14:paraId="01DEF4BF" w14:textId="0B418F90" w:rsidR="002B6146" w:rsidRPr="00A1255D" w:rsidRDefault="00F615EF" w:rsidP="00F5036C">
            <w:pPr>
              <w:pStyle w:val="ListParagraph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714" w:right="40" w:hanging="357"/>
              <w:jc w:val="both"/>
              <w:textAlignment w:val="baseline"/>
              <w:rPr>
                <w:rFonts w:ascii="Arial" w:hAnsi="Arial" w:cs="Arial"/>
                <w:szCs w:val="24"/>
                <w:lang w:val="en"/>
              </w:rPr>
            </w:pPr>
            <w:r w:rsidRPr="00CC279A">
              <w:rPr>
                <w:rFonts w:ascii="Arial" w:hAnsi="Arial" w:cs="Arial"/>
                <w:sz w:val="24"/>
                <w:szCs w:val="24"/>
                <w:lang w:val="en"/>
              </w:rPr>
              <w:t xml:space="preserve">determining whether </w:t>
            </w:r>
            <w:r w:rsidR="007A0DD0" w:rsidRPr="00CC279A">
              <w:rPr>
                <w:rFonts w:ascii="Arial" w:hAnsi="Arial" w:cs="Arial"/>
                <w:sz w:val="24"/>
                <w:szCs w:val="24"/>
                <w:lang w:val="en"/>
              </w:rPr>
              <w:t xml:space="preserve">termination may be required </w:t>
            </w:r>
            <w:r w:rsidR="008C72E3" w:rsidRPr="00CC279A">
              <w:rPr>
                <w:rFonts w:ascii="Arial" w:hAnsi="Arial" w:cs="Arial"/>
                <w:sz w:val="24"/>
                <w:szCs w:val="24"/>
                <w:lang w:val="en"/>
              </w:rPr>
              <w:t>on</w:t>
            </w:r>
            <w:r w:rsidR="007A0DD0" w:rsidRPr="00CC279A">
              <w:rPr>
                <w:rFonts w:ascii="Arial" w:hAnsi="Arial" w:cs="Arial"/>
                <w:sz w:val="24"/>
                <w:szCs w:val="24"/>
                <w:lang w:val="en"/>
              </w:rPr>
              <w:t xml:space="preserve"> the grounds of capability or misconduct</w:t>
            </w:r>
            <w:r w:rsidR="00CC279A" w:rsidRPr="00CC279A">
              <w:rPr>
                <w:rFonts w:ascii="Arial" w:hAnsi="Arial" w:cs="Arial"/>
                <w:sz w:val="24"/>
                <w:szCs w:val="24"/>
                <w:lang w:val="en"/>
              </w:rPr>
              <w:t>,</w:t>
            </w:r>
            <w:r w:rsidR="007A0DD0" w:rsidRPr="00CC279A">
              <w:rPr>
                <w:rFonts w:ascii="Arial" w:hAnsi="Arial" w:cs="Arial"/>
                <w:sz w:val="24"/>
                <w:szCs w:val="24"/>
                <w:lang w:val="en"/>
              </w:rPr>
              <w:t xml:space="preserve"> if no medical </w:t>
            </w:r>
            <w:r w:rsidR="001421D5" w:rsidRPr="00CC279A">
              <w:rPr>
                <w:rFonts w:ascii="Arial" w:hAnsi="Arial" w:cs="Arial"/>
                <w:sz w:val="24"/>
                <w:szCs w:val="24"/>
                <w:lang w:val="en"/>
              </w:rPr>
              <w:t xml:space="preserve">or acceptable </w:t>
            </w:r>
            <w:r w:rsidR="007A0DD0" w:rsidRPr="00CC279A">
              <w:rPr>
                <w:rFonts w:ascii="Arial" w:hAnsi="Arial" w:cs="Arial"/>
                <w:sz w:val="24"/>
                <w:szCs w:val="24"/>
                <w:lang w:val="en"/>
              </w:rPr>
              <w:t>reason</w:t>
            </w:r>
            <w:r w:rsidR="001421D5" w:rsidRPr="00CC279A">
              <w:rPr>
                <w:rFonts w:ascii="Arial" w:hAnsi="Arial" w:cs="Arial"/>
                <w:sz w:val="24"/>
                <w:szCs w:val="24"/>
                <w:lang w:val="en"/>
              </w:rPr>
              <w:t xml:space="preserve"> can be established</w:t>
            </w:r>
            <w:r w:rsidR="007A0DD0" w:rsidRPr="00CC279A">
              <w:rPr>
                <w:rFonts w:ascii="Arial" w:hAnsi="Arial" w:cs="Arial"/>
                <w:sz w:val="24"/>
                <w:szCs w:val="24"/>
                <w:lang w:val="en"/>
              </w:rPr>
              <w:t>.</w:t>
            </w:r>
          </w:p>
        </w:tc>
      </w:tr>
      <w:tr w:rsidR="00CE6306" w:rsidRPr="00A90AA3" w14:paraId="592F298F" w14:textId="77777777" w:rsidTr="006D308B">
        <w:trPr>
          <w:gridAfter w:val="2"/>
          <w:wAfter w:w="283" w:type="dxa"/>
        </w:trPr>
        <w:tc>
          <w:tcPr>
            <w:tcW w:w="1134" w:type="dxa"/>
          </w:tcPr>
          <w:p w14:paraId="42524DBC" w14:textId="18FE18CF" w:rsidR="005748FE" w:rsidRDefault="008D257A" w:rsidP="005748FE">
            <w:pPr>
              <w:pStyle w:val="NoSpacing"/>
            </w:pPr>
            <w:r>
              <w:t>4.2.8</w:t>
            </w:r>
          </w:p>
        </w:tc>
        <w:tc>
          <w:tcPr>
            <w:tcW w:w="8857" w:type="dxa"/>
            <w:gridSpan w:val="2"/>
          </w:tcPr>
          <w:p w14:paraId="13462F11" w14:textId="3011EE83" w:rsidR="005748FE" w:rsidRDefault="003F59AC" w:rsidP="00566883">
            <w:pPr>
              <w:ind w:right="37"/>
              <w:jc w:val="both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Where </w:t>
            </w:r>
            <w:r w:rsidR="006A7056">
              <w:rPr>
                <w:rFonts w:ascii="Arial" w:eastAsia="Calibri" w:hAnsi="Arial" w:cs="Arial"/>
                <w:szCs w:val="24"/>
              </w:rPr>
              <w:t xml:space="preserve">an employee has been off sick for a period of three </w:t>
            </w:r>
            <w:r w:rsidR="00CE5B57">
              <w:rPr>
                <w:rFonts w:ascii="Arial" w:eastAsia="Calibri" w:hAnsi="Arial" w:cs="Arial"/>
                <w:szCs w:val="24"/>
              </w:rPr>
              <w:t>working</w:t>
            </w:r>
            <w:r w:rsidR="006A7056">
              <w:rPr>
                <w:rFonts w:ascii="Arial" w:eastAsia="Calibri" w:hAnsi="Arial" w:cs="Arial"/>
                <w:szCs w:val="24"/>
              </w:rPr>
              <w:t xml:space="preserve"> weeks</w:t>
            </w:r>
            <w:r w:rsidR="00200DEA">
              <w:rPr>
                <w:rFonts w:ascii="Arial" w:eastAsia="Calibri" w:hAnsi="Arial" w:cs="Arial"/>
                <w:szCs w:val="24"/>
              </w:rPr>
              <w:t xml:space="preserve"> or more it would be normal for the manager to </w:t>
            </w:r>
            <w:r w:rsidR="00BD36F7">
              <w:rPr>
                <w:rFonts w:ascii="Arial" w:eastAsia="Calibri" w:hAnsi="Arial" w:cs="Arial"/>
                <w:szCs w:val="24"/>
              </w:rPr>
              <w:t>arrange for a referral to Occupational Health</w:t>
            </w:r>
            <w:r w:rsidR="006A7056">
              <w:rPr>
                <w:rFonts w:ascii="Arial" w:eastAsia="Calibri" w:hAnsi="Arial" w:cs="Arial"/>
                <w:szCs w:val="24"/>
              </w:rPr>
              <w:t xml:space="preserve"> unless </w:t>
            </w:r>
            <w:r w:rsidR="00BD36F7">
              <w:rPr>
                <w:rFonts w:ascii="Arial" w:eastAsia="Calibri" w:hAnsi="Arial" w:cs="Arial"/>
                <w:szCs w:val="24"/>
              </w:rPr>
              <w:t>a</w:t>
            </w:r>
            <w:r w:rsidR="006A7056">
              <w:rPr>
                <w:rFonts w:ascii="Arial" w:eastAsia="Calibri" w:hAnsi="Arial" w:cs="Arial"/>
                <w:szCs w:val="24"/>
              </w:rPr>
              <w:t>n acceptable timescale has already been provided by the employee’s doctor</w:t>
            </w:r>
            <w:r w:rsidR="00DF55E0">
              <w:rPr>
                <w:rFonts w:ascii="Arial" w:eastAsia="Calibri" w:hAnsi="Arial" w:cs="Arial"/>
                <w:szCs w:val="24"/>
              </w:rPr>
              <w:t>.</w:t>
            </w:r>
          </w:p>
          <w:p w14:paraId="6A7D04D4" w14:textId="664BCE83" w:rsidR="00506956" w:rsidRPr="005748FE" w:rsidRDefault="00506956" w:rsidP="00566883">
            <w:pPr>
              <w:ind w:right="37"/>
              <w:jc w:val="both"/>
              <w:rPr>
                <w:rFonts w:ascii="Arial" w:eastAsia="Calibri" w:hAnsi="Arial" w:cs="Arial"/>
                <w:szCs w:val="24"/>
              </w:rPr>
            </w:pPr>
          </w:p>
        </w:tc>
      </w:tr>
      <w:tr w:rsidR="00CE6306" w:rsidRPr="00A90AA3" w14:paraId="0298C56C" w14:textId="77777777" w:rsidTr="006D308B">
        <w:trPr>
          <w:gridAfter w:val="2"/>
          <w:wAfter w:w="283" w:type="dxa"/>
        </w:trPr>
        <w:tc>
          <w:tcPr>
            <w:tcW w:w="1134" w:type="dxa"/>
          </w:tcPr>
          <w:p w14:paraId="56CC170F" w14:textId="2AF5B267" w:rsidR="00DE26AF" w:rsidRDefault="008D257A" w:rsidP="005748FE">
            <w:pPr>
              <w:pStyle w:val="NoSpacing"/>
            </w:pPr>
            <w:r>
              <w:t>4.2.9</w:t>
            </w:r>
          </w:p>
          <w:p w14:paraId="53C7C51A" w14:textId="77777777" w:rsidR="008D257A" w:rsidRDefault="008D257A" w:rsidP="005748FE">
            <w:pPr>
              <w:pStyle w:val="NoSpacing"/>
            </w:pPr>
          </w:p>
          <w:p w14:paraId="65CEF573" w14:textId="77777777" w:rsidR="008D257A" w:rsidRDefault="008D257A" w:rsidP="005748FE">
            <w:pPr>
              <w:pStyle w:val="NoSpacing"/>
            </w:pPr>
          </w:p>
          <w:p w14:paraId="65ED906D" w14:textId="77777777" w:rsidR="008D257A" w:rsidRDefault="008D257A" w:rsidP="005748FE">
            <w:pPr>
              <w:pStyle w:val="NoSpacing"/>
            </w:pPr>
          </w:p>
          <w:p w14:paraId="7DA71F6F" w14:textId="734F2CBA" w:rsidR="008D257A" w:rsidRDefault="008D257A" w:rsidP="005748FE">
            <w:pPr>
              <w:pStyle w:val="NoSpacing"/>
            </w:pPr>
            <w:r>
              <w:t>4.2.10</w:t>
            </w:r>
          </w:p>
        </w:tc>
        <w:tc>
          <w:tcPr>
            <w:tcW w:w="8857" w:type="dxa"/>
            <w:gridSpan w:val="2"/>
          </w:tcPr>
          <w:p w14:paraId="0ADA38C9" w14:textId="70C130C9" w:rsidR="00DE26AF" w:rsidRDefault="005E566A" w:rsidP="00566883">
            <w:pPr>
              <w:ind w:right="37"/>
              <w:jc w:val="both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If an employee is </w:t>
            </w:r>
            <w:r w:rsidR="00762319">
              <w:rPr>
                <w:rFonts w:ascii="Arial" w:eastAsia="Calibri" w:hAnsi="Arial" w:cs="Arial"/>
                <w:szCs w:val="24"/>
              </w:rPr>
              <w:t xml:space="preserve">exhibiting signs </w:t>
            </w:r>
            <w:r w:rsidR="00AD25C0">
              <w:rPr>
                <w:rFonts w:ascii="Arial" w:eastAsia="Calibri" w:hAnsi="Arial" w:cs="Arial"/>
                <w:szCs w:val="24"/>
              </w:rPr>
              <w:t>of</w:t>
            </w:r>
            <w:r w:rsidR="000B0F94">
              <w:rPr>
                <w:rFonts w:ascii="Arial" w:eastAsia="Calibri" w:hAnsi="Arial" w:cs="Arial"/>
                <w:szCs w:val="24"/>
              </w:rPr>
              <w:t xml:space="preserve"> mental health or mus</w:t>
            </w:r>
            <w:r w:rsidR="001B5AA2">
              <w:rPr>
                <w:rFonts w:ascii="Arial" w:eastAsia="Calibri" w:hAnsi="Arial" w:cs="Arial"/>
                <w:szCs w:val="24"/>
              </w:rPr>
              <w:t xml:space="preserve">culoskeletal </w:t>
            </w:r>
            <w:proofErr w:type="gramStart"/>
            <w:r w:rsidR="001B5AA2">
              <w:rPr>
                <w:rFonts w:ascii="Arial" w:eastAsia="Calibri" w:hAnsi="Arial" w:cs="Arial"/>
                <w:szCs w:val="24"/>
              </w:rPr>
              <w:t>disorders</w:t>
            </w:r>
            <w:proofErr w:type="gramEnd"/>
            <w:r w:rsidR="001B5AA2">
              <w:rPr>
                <w:rFonts w:ascii="Arial" w:eastAsia="Calibri" w:hAnsi="Arial" w:cs="Arial"/>
                <w:szCs w:val="24"/>
              </w:rPr>
              <w:t xml:space="preserve"> it is recommended that immediate referral</w:t>
            </w:r>
            <w:r w:rsidR="00762319">
              <w:rPr>
                <w:rFonts w:ascii="Arial" w:eastAsia="Calibri" w:hAnsi="Arial" w:cs="Arial"/>
                <w:szCs w:val="24"/>
              </w:rPr>
              <w:t xml:space="preserve"> to Occupational Health is made whether or not the employee is off sick</w:t>
            </w:r>
            <w:r w:rsidR="00AD25C0">
              <w:rPr>
                <w:rFonts w:ascii="Arial" w:eastAsia="Calibri" w:hAnsi="Arial" w:cs="Arial"/>
                <w:szCs w:val="24"/>
              </w:rPr>
              <w:t>.</w:t>
            </w:r>
          </w:p>
          <w:p w14:paraId="396DDB09" w14:textId="77777777" w:rsidR="0030464E" w:rsidRDefault="0030464E" w:rsidP="00566883">
            <w:pPr>
              <w:ind w:right="37"/>
              <w:jc w:val="both"/>
              <w:rPr>
                <w:rFonts w:ascii="Arial" w:eastAsia="Calibri" w:hAnsi="Arial" w:cs="Arial"/>
                <w:szCs w:val="24"/>
              </w:rPr>
            </w:pPr>
          </w:p>
          <w:p w14:paraId="4117B33E" w14:textId="61A4C108" w:rsidR="0030464E" w:rsidRDefault="0030464E" w:rsidP="00566883">
            <w:pPr>
              <w:ind w:right="37"/>
              <w:jc w:val="both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Recent training has been offered to managers whereby </w:t>
            </w:r>
            <w:r w:rsidR="00575F43">
              <w:rPr>
                <w:rFonts w:ascii="Arial" w:eastAsia="Calibri" w:hAnsi="Arial" w:cs="Arial"/>
                <w:szCs w:val="24"/>
              </w:rPr>
              <w:t>they are being encouraged to use OH referrals proactively</w:t>
            </w:r>
            <w:r w:rsidR="00A17807">
              <w:rPr>
                <w:rFonts w:ascii="Arial" w:eastAsia="Calibri" w:hAnsi="Arial" w:cs="Arial"/>
                <w:szCs w:val="24"/>
              </w:rPr>
              <w:t xml:space="preserve"> to support employees</w:t>
            </w:r>
            <w:r w:rsidR="00575F43">
              <w:rPr>
                <w:rFonts w:ascii="Arial" w:eastAsia="Calibri" w:hAnsi="Arial" w:cs="Arial"/>
                <w:szCs w:val="24"/>
              </w:rPr>
              <w:t xml:space="preserve">. </w:t>
            </w:r>
          </w:p>
          <w:p w14:paraId="0F6DCE87" w14:textId="61F18DCF" w:rsidR="00AD25C0" w:rsidRDefault="00AD25C0" w:rsidP="00566883">
            <w:pPr>
              <w:ind w:right="37"/>
              <w:jc w:val="both"/>
              <w:rPr>
                <w:rFonts w:ascii="Arial" w:eastAsia="Calibri" w:hAnsi="Arial" w:cs="Arial"/>
                <w:szCs w:val="24"/>
              </w:rPr>
            </w:pPr>
          </w:p>
        </w:tc>
      </w:tr>
      <w:tr w:rsidR="00CE6306" w:rsidRPr="00A90AA3" w14:paraId="1A094694" w14:textId="77777777" w:rsidTr="006D308B">
        <w:trPr>
          <w:gridAfter w:val="2"/>
          <w:wAfter w:w="283" w:type="dxa"/>
        </w:trPr>
        <w:tc>
          <w:tcPr>
            <w:tcW w:w="1134" w:type="dxa"/>
          </w:tcPr>
          <w:p w14:paraId="0627D6D4" w14:textId="2FEB0FD5" w:rsidR="00490A83" w:rsidRDefault="008D257A" w:rsidP="005748FE">
            <w:pPr>
              <w:pStyle w:val="NoSpacing"/>
            </w:pPr>
            <w:r>
              <w:t>4.3</w:t>
            </w:r>
          </w:p>
          <w:p w14:paraId="6EBF9808" w14:textId="77777777" w:rsidR="008D257A" w:rsidRDefault="008D257A" w:rsidP="005748FE">
            <w:pPr>
              <w:pStyle w:val="NoSpacing"/>
            </w:pPr>
          </w:p>
          <w:p w14:paraId="4AF3F99C" w14:textId="0E89647D" w:rsidR="008D257A" w:rsidRDefault="008D257A" w:rsidP="005748FE">
            <w:pPr>
              <w:pStyle w:val="NoSpacing"/>
            </w:pPr>
            <w:r>
              <w:t>4.3.1</w:t>
            </w:r>
          </w:p>
        </w:tc>
        <w:tc>
          <w:tcPr>
            <w:tcW w:w="8857" w:type="dxa"/>
            <w:gridSpan w:val="2"/>
          </w:tcPr>
          <w:p w14:paraId="631E0A5F" w14:textId="75474AA0" w:rsidR="00490A83" w:rsidRPr="00DF55E0" w:rsidRDefault="00490A83" w:rsidP="00566883">
            <w:pPr>
              <w:ind w:right="37"/>
              <w:jc w:val="both"/>
              <w:rPr>
                <w:rFonts w:ascii="Arial" w:eastAsia="Calibri" w:hAnsi="Arial" w:cs="Arial"/>
                <w:szCs w:val="24"/>
                <w:u w:val="single"/>
              </w:rPr>
            </w:pPr>
            <w:r w:rsidRPr="00DF55E0">
              <w:rPr>
                <w:rFonts w:ascii="Arial" w:eastAsia="Calibri" w:hAnsi="Arial" w:cs="Arial"/>
                <w:szCs w:val="24"/>
                <w:u w:val="single"/>
              </w:rPr>
              <w:t xml:space="preserve">Role of HR </w:t>
            </w:r>
            <w:r w:rsidR="00025E94" w:rsidRPr="00DF55E0">
              <w:rPr>
                <w:rFonts w:ascii="Arial" w:eastAsia="Calibri" w:hAnsi="Arial" w:cs="Arial"/>
                <w:szCs w:val="24"/>
                <w:u w:val="single"/>
              </w:rPr>
              <w:t>in absence management</w:t>
            </w:r>
            <w:r w:rsidR="0086282C" w:rsidRPr="00DF55E0">
              <w:rPr>
                <w:rFonts w:ascii="Arial" w:eastAsia="Calibri" w:hAnsi="Arial" w:cs="Arial"/>
                <w:szCs w:val="24"/>
                <w:u w:val="single"/>
              </w:rPr>
              <w:t xml:space="preserve"> and monitoring</w:t>
            </w:r>
          </w:p>
          <w:p w14:paraId="75E6E24C" w14:textId="77777777" w:rsidR="000E716E" w:rsidRPr="00DF55E0" w:rsidRDefault="000E716E" w:rsidP="00566883">
            <w:pPr>
              <w:ind w:right="37"/>
              <w:jc w:val="both"/>
              <w:rPr>
                <w:rFonts w:ascii="Arial" w:eastAsia="Calibri" w:hAnsi="Arial" w:cs="Arial"/>
                <w:szCs w:val="24"/>
                <w:u w:val="single"/>
              </w:rPr>
            </w:pPr>
          </w:p>
          <w:p w14:paraId="10684445" w14:textId="77777777" w:rsidR="00025E94" w:rsidRDefault="00025E94" w:rsidP="00566883">
            <w:pPr>
              <w:ind w:right="37"/>
              <w:jc w:val="both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Whilst the </w:t>
            </w:r>
            <w:r w:rsidR="00AD25C0">
              <w:rPr>
                <w:rFonts w:ascii="Arial" w:eastAsia="Calibri" w:hAnsi="Arial" w:cs="Arial"/>
                <w:szCs w:val="24"/>
              </w:rPr>
              <w:t xml:space="preserve">monitoring and </w:t>
            </w:r>
            <w:r>
              <w:rPr>
                <w:rFonts w:ascii="Arial" w:eastAsia="Calibri" w:hAnsi="Arial" w:cs="Arial"/>
                <w:szCs w:val="24"/>
              </w:rPr>
              <w:t xml:space="preserve">management of employee absence is the responsibility of the </w:t>
            </w:r>
            <w:r w:rsidR="00E87B82">
              <w:rPr>
                <w:rFonts w:ascii="Arial" w:eastAsia="Calibri" w:hAnsi="Arial" w:cs="Arial"/>
                <w:szCs w:val="24"/>
              </w:rPr>
              <w:t xml:space="preserve">line </w:t>
            </w:r>
            <w:r>
              <w:rPr>
                <w:rFonts w:ascii="Arial" w:eastAsia="Calibri" w:hAnsi="Arial" w:cs="Arial"/>
                <w:szCs w:val="24"/>
              </w:rPr>
              <w:t xml:space="preserve">manager, </w:t>
            </w:r>
            <w:r w:rsidR="000E716E">
              <w:rPr>
                <w:rFonts w:ascii="Arial" w:eastAsia="Calibri" w:hAnsi="Arial" w:cs="Arial"/>
                <w:szCs w:val="24"/>
              </w:rPr>
              <w:t>as outlined above and in previous reports to the Board,</w:t>
            </w:r>
            <w:r>
              <w:rPr>
                <w:rFonts w:ascii="Arial" w:eastAsia="Calibri" w:hAnsi="Arial" w:cs="Arial"/>
                <w:szCs w:val="24"/>
              </w:rPr>
              <w:t xml:space="preserve"> HR</w:t>
            </w:r>
            <w:r w:rsidR="00EE53A5">
              <w:rPr>
                <w:rFonts w:ascii="Arial" w:eastAsia="Calibri" w:hAnsi="Arial" w:cs="Arial"/>
                <w:szCs w:val="24"/>
              </w:rPr>
              <w:t xml:space="preserve"> can provide a range of advisory and consultative functions to support managers</w:t>
            </w:r>
            <w:r w:rsidR="0073370B">
              <w:rPr>
                <w:rFonts w:ascii="Arial" w:eastAsia="Calibri" w:hAnsi="Arial" w:cs="Arial"/>
                <w:szCs w:val="24"/>
              </w:rPr>
              <w:t xml:space="preserve"> as follows:</w:t>
            </w:r>
          </w:p>
          <w:p w14:paraId="0CBBC1DF" w14:textId="1D6D97E1" w:rsidR="00025E94" w:rsidRDefault="00025E94" w:rsidP="00566883">
            <w:pPr>
              <w:ind w:right="37"/>
              <w:jc w:val="both"/>
              <w:rPr>
                <w:rFonts w:ascii="Arial" w:eastAsia="Calibri" w:hAnsi="Arial" w:cs="Arial"/>
                <w:szCs w:val="24"/>
              </w:rPr>
            </w:pPr>
          </w:p>
        </w:tc>
      </w:tr>
      <w:tr w:rsidR="00CD05D0" w:rsidRPr="00A90AA3" w14:paraId="726F10A3" w14:textId="77777777" w:rsidTr="006D308B">
        <w:trPr>
          <w:gridAfter w:val="2"/>
          <w:wAfter w:w="283" w:type="dxa"/>
        </w:trPr>
        <w:tc>
          <w:tcPr>
            <w:tcW w:w="1134" w:type="dxa"/>
          </w:tcPr>
          <w:p w14:paraId="6B94C4F8" w14:textId="2225C119" w:rsidR="00E87B82" w:rsidRDefault="00751A00" w:rsidP="005748FE">
            <w:pPr>
              <w:pStyle w:val="NoSpacing"/>
            </w:pPr>
            <w:r>
              <w:t>4.3.2</w:t>
            </w:r>
          </w:p>
        </w:tc>
        <w:tc>
          <w:tcPr>
            <w:tcW w:w="8857" w:type="dxa"/>
            <w:gridSpan w:val="2"/>
          </w:tcPr>
          <w:p w14:paraId="76287535" w14:textId="3C4229A5" w:rsidR="00E87B82" w:rsidRPr="00EC7870" w:rsidRDefault="00E87B82" w:rsidP="005F5DE5">
            <w:pPr>
              <w:pStyle w:val="ListParagraph"/>
              <w:numPr>
                <w:ilvl w:val="0"/>
                <w:numId w:val="20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870">
              <w:rPr>
                <w:rFonts w:ascii="Arial" w:hAnsi="Arial" w:cs="Arial"/>
                <w:sz w:val="24"/>
                <w:szCs w:val="24"/>
              </w:rPr>
              <w:t>HR maintains a record of all long</w:t>
            </w:r>
            <w:r w:rsidR="00A5371F" w:rsidRPr="00EC7870">
              <w:rPr>
                <w:rFonts w:ascii="Arial" w:hAnsi="Arial" w:cs="Arial"/>
                <w:sz w:val="24"/>
                <w:szCs w:val="24"/>
              </w:rPr>
              <w:t>-</w:t>
            </w:r>
            <w:r w:rsidRPr="00EC7870">
              <w:rPr>
                <w:rFonts w:ascii="Arial" w:hAnsi="Arial" w:cs="Arial"/>
                <w:sz w:val="24"/>
                <w:szCs w:val="24"/>
              </w:rPr>
              <w:t>term absences</w:t>
            </w:r>
            <w:r w:rsidR="00A5371F" w:rsidRPr="00EC7870">
              <w:rPr>
                <w:rFonts w:ascii="Arial" w:hAnsi="Arial" w:cs="Arial"/>
                <w:sz w:val="24"/>
                <w:szCs w:val="24"/>
              </w:rPr>
              <w:t xml:space="preserve"> (over 10 days)</w:t>
            </w:r>
            <w:r w:rsidR="00EA3AD0" w:rsidRPr="00EC7870">
              <w:rPr>
                <w:rFonts w:ascii="Arial" w:hAnsi="Arial" w:cs="Arial"/>
                <w:sz w:val="24"/>
                <w:szCs w:val="24"/>
              </w:rPr>
              <w:t xml:space="preserve"> and reports this </w:t>
            </w:r>
            <w:r w:rsidR="003F7F83" w:rsidRPr="00EC7870">
              <w:rPr>
                <w:rFonts w:ascii="Arial" w:hAnsi="Arial" w:cs="Arial"/>
                <w:sz w:val="24"/>
                <w:szCs w:val="24"/>
              </w:rPr>
              <w:t xml:space="preserve">monthly </w:t>
            </w:r>
            <w:r w:rsidR="00EA3AD0" w:rsidRPr="00EC7870">
              <w:rPr>
                <w:rFonts w:ascii="Arial" w:hAnsi="Arial" w:cs="Arial"/>
                <w:sz w:val="24"/>
                <w:szCs w:val="24"/>
              </w:rPr>
              <w:t>to the Executive Team.  This notes any actions being taken within a service</w:t>
            </w:r>
            <w:r w:rsidR="00A5371F" w:rsidRPr="00EC7870">
              <w:rPr>
                <w:rFonts w:ascii="Arial" w:hAnsi="Arial" w:cs="Arial"/>
                <w:sz w:val="24"/>
                <w:szCs w:val="24"/>
              </w:rPr>
              <w:t xml:space="preserve"> during the month</w:t>
            </w:r>
            <w:r w:rsidR="00EA3AD0" w:rsidRPr="00EC787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5371F" w:rsidRPr="00EC7870">
              <w:rPr>
                <w:rFonts w:ascii="Arial" w:hAnsi="Arial" w:cs="Arial"/>
                <w:sz w:val="24"/>
                <w:szCs w:val="24"/>
              </w:rPr>
              <w:t xml:space="preserve">records the </w:t>
            </w:r>
            <w:r w:rsidR="00EA3AD0" w:rsidRPr="00EC7870">
              <w:rPr>
                <w:rFonts w:ascii="Arial" w:hAnsi="Arial" w:cs="Arial"/>
                <w:sz w:val="24"/>
                <w:szCs w:val="24"/>
              </w:rPr>
              <w:t xml:space="preserve">number of OH referrals and </w:t>
            </w:r>
            <w:r w:rsidR="00D548F3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694E12" w:rsidRPr="00EC7870">
              <w:rPr>
                <w:rFonts w:ascii="Arial" w:hAnsi="Arial" w:cs="Arial"/>
                <w:sz w:val="24"/>
                <w:szCs w:val="24"/>
              </w:rPr>
              <w:t>a record of length of absence and return</w:t>
            </w:r>
            <w:r w:rsidR="00E35B95">
              <w:rPr>
                <w:rFonts w:ascii="Arial" w:hAnsi="Arial" w:cs="Arial"/>
                <w:sz w:val="24"/>
                <w:szCs w:val="24"/>
              </w:rPr>
              <w:t>s</w:t>
            </w:r>
            <w:r w:rsidR="00694E12" w:rsidRPr="00EC7870">
              <w:rPr>
                <w:rFonts w:ascii="Arial" w:hAnsi="Arial" w:cs="Arial"/>
                <w:sz w:val="24"/>
                <w:szCs w:val="24"/>
              </w:rPr>
              <w:t xml:space="preserve"> to work</w:t>
            </w:r>
            <w:r w:rsidR="00E35B95">
              <w:rPr>
                <w:rFonts w:ascii="Arial" w:hAnsi="Arial" w:cs="Arial"/>
                <w:sz w:val="24"/>
                <w:szCs w:val="24"/>
              </w:rPr>
              <w:t>.</w:t>
            </w:r>
            <w:r w:rsidR="00915F9E" w:rsidRPr="00EC78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8EBD22B" w14:textId="5A6F81A4" w:rsidR="00282005" w:rsidRDefault="00833110" w:rsidP="005F5DE5">
            <w:pPr>
              <w:pStyle w:val="ListParagraph"/>
              <w:numPr>
                <w:ilvl w:val="0"/>
                <w:numId w:val="20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870">
              <w:rPr>
                <w:rFonts w:ascii="Arial" w:hAnsi="Arial" w:cs="Arial"/>
                <w:sz w:val="24"/>
                <w:szCs w:val="24"/>
              </w:rPr>
              <w:t>HR works closely with managers, particularly with long-term absences</w:t>
            </w:r>
            <w:r w:rsidR="005C252A">
              <w:rPr>
                <w:rFonts w:ascii="Arial" w:hAnsi="Arial" w:cs="Arial"/>
                <w:sz w:val="24"/>
                <w:szCs w:val="24"/>
              </w:rPr>
              <w:t>,</w:t>
            </w:r>
            <w:r w:rsidRPr="00EC7870">
              <w:rPr>
                <w:rFonts w:ascii="Arial" w:hAnsi="Arial" w:cs="Arial"/>
                <w:sz w:val="24"/>
                <w:szCs w:val="24"/>
              </w:rPr>
              <w:t xml:space="preserve"> to ensure</w:t>
            </w:r>
            <w:r w:rsidR="005C252A">
              <w:rPr>
                <w:rFonts w:ascii="Arial" w:hAnsi="Arial" w:cs="Arial"/>
                <w:sz w:val="24"/>
                <w:szCs w:val="24"/>
              </w:rPr>
              <w:t xml:space="preserve"> that:</w:t>
            </w:r>
          </w:p>
          <w:p w14:paraId="31601807" w14:textId="1C19751A" w:rsidR="00282005" w:rsidRPr="00C97CD3" w:rsidRDefault="005C252A" w:rsidP="005F5DE5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110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employees </w:t>
            </w:r>
            <w:r w:rsidR="00B52AD7" w:rsidRPr="00EC7870">
              <w:rPr>
                <w:rFonts w:ascii="Arial" w:hAnsi="Arial" w:cs="Arial"/>
                <w:sz w:val="24"/>
                <w:szCs w:val="24"/>
              </w:rPr>
              <w:t>are receiving</w:t>
            </w:r>
            <w:r w:rsidR="00B52AD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appropriate </w:t>
            </w:r>
            <w:r w:rsidR="00833110" w:rsidRPr="00C97CD3">
              <w:rPr>
                <w:rFonts w:ascii="Arial" w:hAnsi="Arial" w:cs="Arial"/>
                <w:sz w:val="24"/>
                <w:szCs w:val="24"/>
              </w:rPr>
              <w:t xml:space="preserve">welfare support during </w:t>
            </w:r>
            <w:proofErr w:type="gramStart"/>
            <w:r w:rsidR="00833110" w:rsidRPr="00C97CD3">
              <w:rPr>
                <w:rFonts w:ascii="Arial" w:hAnsi="Arial" w:cs="Arial"/>
                <w:sz w:val="24"/>
                <w:szCs w:val="24"/>
              </w:rPr>
              <w:t>absence</w:t>
            </w:r>
            <w:r w:rsidR="003562E3" w:rsidRPr="00C97CD3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  <w:r w:rsidR="003562E3" w:rsidRPr="00C97C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78AE662" w14:textId="17AE228B" w:rsidR="000173BE" w:rsidRDefault="00833110" w:rsidP="005F5DE5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110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97CD3">
              <w:rPr>
                <w:rFonts w:ascii="Arial" w:hAnsi="Arial" w:cs="Arial"/>
                <w:sz w:val="24"/>
                <w:szCs w:val="24"/>
              </w:rPr>
              <w:t>OH</w:t>
            </w:r>
            <w:proofErr w:type="gramEnd"/>
            <w:r w:rsidRPr="00C97CD3">
              <w:rPr>
                <w:rFonts w:ascii="Arial" w:hAnsi="Arial" w:cs="Arial"/>
                <w:sz w:val="24"/>
                <w:szCs w:val="24"/>
              </w:rPr>
              <w:t xml:space="preserve"> or counselling referrals are made in a timely manner</w:t>
            </w:r>
            <w:r w:rsidR="005C252A">
              <w:rPr>
                <w:rFonts w:ascii="Arial" w:hAnsi="Arial" w:cs="Arial"/>
                <w:sz w:val="24"/>
                <w:szCs w:val="24"/>
              </w:rPr>
              <w:t>;</w:t>
            </w:r>
            <w:r w:rsidR="003562E3" w:rsidRPr="00C97C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AFA347F" w14:textId="3E5B29B3" w:rsidR="00454A4D" w:rsidRDefault="000173BE" w:rsidP="005F5DE5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110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reasonable adjustments</w:t>
            </w:r>
            <w:r w:rsidR="003562E3" w:rsidRPr="00C97CD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are made</w:t>
            </w:r>
            <w:r w:rsidR="005C252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where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appropriate</w:t>
            </w:r>
            <w:r w:rsidR="00671672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14:paraId="1A482225" w14:textId="4CD74A71" w:rsidR="00671672" w:rsidRPr="00C97CD3" w:rsidRDefault="00671672" w:rsidP="005F5DE5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110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phased returns are implemented as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required;</w:t>
            </w:r>
            <w:proofErr w:type="gramEnd"/>
          </w:p>
          <w:p w14:paraId="21C6EEAA" w14:textId="20962445" w:rsidR="00A673F3" w:rsidRPr="00C97CD3" w:rsidRDefault="00833110" w:rsidP="005F5DE5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110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CD3">
              <w:rPr>
                <w:rFonts w:ascii="Arial" w:hAnsi="Arial" w:cs="Arial"/>
                <w:sz w:val="24"/>
                <w:szCs w:val="24"/>
              </w:rPr>
              <w:t>managers are supported in formal absence management meetings.</w:t>
            </w:r>
          </w:p>
          <w:p w14:paraId="0EF4E389" w14:textId="00DA6B2C" w:rsidR="00E35B95" w:rsidRPr="00EC7870" w:rsidRDefault="00FE3D95" w:rsidP="005F5DE5">
            <w:pPr>
              <w:pStyle w:val="ListParagraph"/>
              <w:numPr>
                <w:ilvl w:val="0"/>
                <w:numId w:val="20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HR may also act as first point of contact for absent employees where there has been a breakdown </w:t>
            </w:r>
            <w:r w:rsidR="00C97CD3">
              <w:rPr>
                <w:rFonts w:ascii="Arial" w:hAnsi="Arial" w:cs="Arial"/>
                <w:sz w:val="24"/>
                <w:szCs w:val="24"/>
              </w:rPr>
              <w:t xml:space="preserve">in relationship with line </w:t>
            </w:r>
            <w:proofErr w:type="gramStart"/>
            <w:r w:rsidR="00C97CD3">
              <w:rPr>
                <w:rFonts w:ascii="Arial" w:hAnsi="Arial" w:cs="Arial"/>
                <w:sz w:val="24"/>
                <w:szCs w:val="24"/>
              </w:rPr>
              <w:t>manager;</w:t>
            </w:r>
            <w:proofErr w:type="gramEnd"/>
          </w:p>
          <w:p w14:paraId="254E7E05" w14:textId="0746D36B" w:rsidR="00A673F3" w:rsidRPr="00EC7870" w:rsidRDefault="00A673F3" w:rsidP="005F5DE5">
            <w:pPr>
              <w:pStyle w:val="ListParagraph"/>
              <w:numPr>
                <w:ilvl w:val="0"/>
                <w:numId w:val="20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870">
              <w:rPr>
                <w:rFonts w:ascii="Arial" w:hAnsi="Arial" w:cs="Arial"/>
                <w:sz w:val="24"/>
                <w:szCs w:val="24"/>
              </w:rPr>
              <w:t>In addition, HR will advise on matters, in particular where absence may be related but not restricted to</w:t>
            </w:r>
            <w:r w:rsidR="000F2C8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F454B0D" w14:textId="77777777" w:rsidR="00A673F3" w:rsidRPr="00EC7870" w:rsidRDefault="00A673F3" w:rsidP="005F5DE5">
            <w:pPr>
              <w:pStyle w:val="ListParagraph"/>
              <w:numPr>
                <w:ilvl w:val="0"/>
                <w:numId w:val="2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870">
              <w:rPr>
                <w:rFonts w:ascii="Arial" w:hAnsi="Arial" w:cs="Arial"/>
                <w:sz w:val="24"/>
                <w:szCs w:val="24"/>
              </w:rPr>
              <w:t>Stress at work</w:t>
            </w:r>
          </w:p>
          <w:p w14:paraId="305D0545" w14:textId="77777777" w:rsidR="00A673F3" w:rsidRPr="00EC7870" w:rsidRDefault="00A673F3" w:rsidP="005F5DE5">
            <w:pPr>
              <w:pStyle w:val="ListParagraph"/>
              <w:numPr>
                <w:ilvl w:val="0"/>
                <w:numId w:val="2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870">
              <w:rPr>
                <w:rFonts w:ascii="Arial" w:hAnsi="Arial" w:cs="Arial"/>
                <w:sz w:val="24"/>
                <w:szCs w:val="24"/>
              </w:rPr>
              <w:t>Grievances and Disciplinary</w:t>
            </w:r>
          </w:p>
          <w:p w14:paraId="7B9FEFD8" w14:textId="77777777" w:rsidR="00A673F3" w:rsidRPr="00EC7870" w:rsidRDefault="00A673F3" w:rsidP="005F5DE5">
            <w:pPr>
              <w:pStyle w:val="ListParagraph"/>
              <w:numPr>
                <w:ilvl w:val="0"/>
                <w:numId w:val="2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870">
              <w:rPr>
                <w:rFonts w:ascii="Arial" w:hAnsi="Arial" w:cs="Arial"/>
                <w:sz w:val="24"/>
                <w:szCs w:val="24"/>
              </w:rPr>
              <w:t>Early/ill health retirement</w:t>
            </w:r>
          </w:p>
          <w:p w14:paraId="45553F6D" w14:textId="29A46160" w:rsidR="00E87B82" w:rsidRPr="00192235" w:rsidRDefault="00A673F3" w:rsidP="005F5DE5">
            <w:pPr>
              <w:pStyle w:val="ListParagraph"/>
              <w:numPr>
                <w:ilvl w:val="0"/>
                <w:numId w:val="2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870">
              <w:rPr>
                <w:rFonts w:ascii="Arial" w:hAnsi="Arial" w:cs="Arial"/>
                <w:sz w:val="24"/>
                <w:szCs w:val="24"/>
              </w:rPr>
              <w:t>Redeployment</w:t>
            </w:r>
          </w:p>
        </w:tc>
      </w:tr>
      <w:tr w:rsidR="00EB329A" w:rsidRPr="00A90AA3" w14:paraId="3C2397FC" w14:textId="77777777" w:rsidTr="006D308B">
        <w:trPr>
          <w:gridAfter w:val="1"/>
          <w:wAfter w:w="265" w:type="dxa"/>
        </w:trPr>
        <w:tc>
          <w:tcPr>
            <w:tcW w:w="1134" w:type="dxa"/>
          </w:tcPr>
          <w:p w14:paraId="11BFF09E" w14:textId="5E066A78" w:rsidR="00072A6C" w:rsidRDefault="008D257A" w:rsidP="005748FE">
            <w:pPr>
              <w:pStyle w:val="NoSpacing"/>
            </w:pPr>
            <w:r>
              <w:lastRenderedPageBreak/>
              <w:t>4.4</w:t>
            </w:r>
          </w:p>
        </w:tc>
        <w:tc>
          <w:tcPr>
            <w:tcW w:w="8875" w:type="dxa"/>
            <w:gridSpan w:val="3"/>
          </w:tcPr>
          <w:p w14:paraId="7400DF76" w14:textId="675A865F" w:rsidR="005400A1" w:rsidRPr="003E6C16" w:rsidRDefault="005400A1" w:rsidP="057B8305">
            <w:pPr>
              <w:jc w:val="both"/>
              <w:rPr>
                <w:rFonts w:ascii="Arial" w:eastAsia="Calibri" w:hAnsi="Arial" w:cs="Arial"/>
                <w:szCs w:val="24"/>
                <w:u w:val="single"/>
              </w:rPr>
            </w:pPr>
            <w:r w:rsidRPr="003E6C16">
              <w:rPr>
                <w:rFonts w:ascii="Arial" w:eastAsia="Calibri" w:hAnsi="Arial" w:cs="Arial"/>
                <w:szCs w:val="24"/>
                <w:u w:val="single"/>
              </w:rPr>
              <w:t>Review of Absences in 2022/23</w:t>
            </w:r>
          </w:p>
          <w:p w14:paraId="0CA96627" w14:textId="05539ED4" w:rsidR="00072A6C" w:rsidRDefault="00072A6C" w:rsidP="057B8305">
            <w:pPr>
              <w:jc w:val="both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The Head of HR recently carried out a review of all absences</w:t>
            </w:r>
            <w:r w:rsidR="003850D3">
              <w:rPr>
                <w:rFonts w:ascii="Arial" w:eastAsia="Calibri" w:hAnsi="Arial" w:cs="Arial"/>
                <w:szCs w:val="24"/>
              </w:rPr>
              <w:t xml:space="preserve"> in 2022/23. This review identified that </w:t>
            </w:r>
            <w:r w:rsidR="00D608D4">
              <w:rPr>
                <w:rFonts w:ascii="Arial" w:eastAsia="Calibri" w:hAnsi="Arial" w:cs="Arial"/>
                <w:szCs w:val="24"/>
              </w:rPr>
              <w:t xml:space="preserve">almost </w:t>
            </w:r>
            <w:r w:rsidR="002F08A1">
              <w:rPr>
                <w:rFonts w:ascii="Arial" w:eastAsia="Calibri" w:hAnsi="Arial" w:cs="Arial"/>
                <w:szCs w:val="24"/>
              </w:rPr>
              <w:t xml:space="preserve">87% of all absences in that period were classed as short-term </w:t>
            </w:r>
            <w:proofErr w:type="gramStart"/>
            <w:r w:rsidR="002F08A1">
              <w:rPr>
                <w:rFonts w:ascii="Arial" w:eastAsia="Calibri" w:hAnsi="Arial" w:cs="Arial"/>
                <w:szCs w:val="24"/>
              </w:rPr>
              <w:t>i.e.</w:t>
            </w:r>
            <w:proofErr w:type="gramEnd"/>
            <w:r w:rsidR="002F08A1">
              <w:rPr>
                <w:rFonts w:ascii="Arial" w:eastAsia="Calibri" w:hAnsi="Arial" w:cs="Arial"/>
                <w:szCs w:val="24"/>
              </w:rPr>
              <w:t xml:space="preserve"> less </w:t>
            </w:r>
            <w:proofErr w:type="spellStart"/>
            <w:r w:rsidR="002F08A1">
              <w:rPr>
                <w:rFonts w:ascii="Arial" w:eastAsia="Calibri" w:hAnsi="Arial" w:cs="Arial"/>
                <w:szCs w:val="24"/>
              </w:rPr>
              <w:t>that</w:t>
            </w:r>
            <w:proofErr w:type="spellEnd"/>
            <w:r w:rsidR="002F08A1">
              <w:rPr>
                <w:rFonts w:ascii="Arial" w:eastAsia="Calibri" w:hAnsi="Arial" w:cs="Arial"/>
                <w:szCs w:val="24"/>
              </w:rPr>
              <w:t xml:space="preserve"> 10 consecutive days</w:t>
            </w:r>
            <w:r w:rsidR="005A60BC">
              <w:rPr>
                <w:rFonts w:ascii="Arial" w:eastAsia="Calibri" w:hAnsi="Arial" w:cs="Arial"/>
                <w:szCs w:val="24"/>
              </w:rPr>
              <w:t>,</w:t>
            </w:r>
            <w:r w:rsidR="00327567">
              <w:rPr>
                <w:rFonts w:ascii="Arial" w:eastAsia="Calibri" w:hAnsi="Arial" w:cs="Arial"/>
                <w:szCs w:val="24"/>
              </w:rPr>
              <w:t xml:space="preserve"> and whilst HR </w:t>
            </w:r>
            <w:r w:rsidR="00CF584A">
              <w:rPr>
                <w:rFonts w:ascii="Arial" w:eastAsia="Calibri" w:hAnsi="Arial" w:cs="Arial"/>
                <w:szCs w:val="24"/>
              </w:rPr>
              <w:t>was aware of and had been involved in the management of all long term absences</w:t>
            </w:r>
            <w:r w:rsidR="00DA3054">
              <w:rPr>
                <w:rFonts w:ascii="Arial" w:eastAsia="Calibri" w:hAnsi="Arial" w:cs="Arial"/>
                <w:szCs w:val="24"/>
              </w:rPr>
              <w:t xml:space="preserve"> it had not been made aware of any concerns regarding </w:t>
            </w:r>
            <w:r w:rsidR="00B5629F">
              <w:rPr>
                <w:rFonts w:ascii="Arial" w:eastAsia="Calibri" w:hAnsi="Arial" w:cs="Arial"/>
                <w:szCs w:val="24"/>
              </w:rPr>
              <w:t xml:space="preserve">patterns of short term </w:t>
            </w:r>
            <w:r w:rsidR="004412FB">
              <w:rPr>
                <w:rFonts w:ascii="Arial" w:eastAsia="Calibri" w:hAnsi="Arial" w:cs="Arial"/>
                <w:szCs w:val="24"/>
              </w:rPr>
              <w:t>absence.</w:t>
            </w:r>
          </w:p>
          <w:p w14:paraId="0B7E9466" w14:textId="30A3881C" w:rsidR="003850D3" w:rsidRDefault="003850D3" w:rsidP="057B8305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</w:tr>
      <w:tr w:rsidR="00CE6306" w:rsidRPr="00A90AA3" w14:paraId="07CB5B14" w14:textId="77777777" w:rsidTr="006D308B">
        <w:trPr>
          <w:gridAfter w:val="2"/>
          <w:wAfter w:w="283" w:type="dxa"/>
        </w:trPr>
        <w:tc>
          <w:tcPr>
            <w:tcW w:w="1134" w:type="dxa"/>
          </w:tcPr>
          <w:p w14:paraId="2E61BB11" w14:textId="77777777" w:rsidR="00175ADC" w:rsidRDefault="008D257A" w:rsidP="005748FE">
            <w:pPr>
              <w:pStyle w:val="NoSpacing"/>
            </w:pPr>
            <w:r>
              <w:t>4.4.1</w:t>
            </w:r>
          </w:p>
          <w:p w14:paraId="4DCB40B0" w14:textId="77777777" w:rsidR="00D167BA" w:rsidRDefault="00D167BA" w:rsidP="005748FE">
            <w:pPr>
              <w:pStyle w:val="NoSpacing"/>
            </w:pPr>
          </w:p>
          <w:p w14:paraId="2E1D144F" w14:textId="77777777" w:rsidR="00D167BA" w:rsidRDefault="00D167BA" w:rsidP="005748FE">
            <w:pPr>
              <w:pStyle w:val="NoSpacing"/>
            </w:pPr>
          </w:p>
          <w:p w14:paraId="36845BCA" w14:textId="77777777" w:rsidR="00D167BA" w:rsidRDefault="00D167BA" w:rsidP="005748FE">
            <w:pPr>
              <w:pStyle w:val="NoSpacing"/>
            </w:pPr>
          </w:p>
          <w:p w14:paraId="46973EDE" w14:textId="77777777" w:rsidR="00D167BA" w:rsidRDefault="00D167BA" w:rsidP="005748FE">
            <w:pPr>
              <w:pStyle w:val="NoSpacing"/>
            </w:pPr>
          </w:p>
          <w:p w14:paraId="2A83E4F7" w14:textId="77777777" w:rsidR="00D167BA" w:rsidRDefault="00D167BA" w:rsidP="005748FE">
            <w:pPr>
              <w:pStyle w:val="NoSpacing"/>
            </w:pPr>
          </w:p>
          <w:p w14:paraId="3B66B3F6" w14:textId="77777777" w:rsidR="00D167BA" w:rsidRDefault="00D167BA" w:rsidP="005748FE">
            <w:pPr>
              <w:pStyle w:val="NoSpacing"/>
            </w:pPr>
          </w:p>
          <w:p w14:paraId="5C913188" w14:textId="77777777" w:rsidR="00D167BA" w:rsidRDefault="00D167BA" w:rsidP="005748FE">
            <w:pPr>
              <w:pStyle w:val="NoSpacing"/>
            </w:pPr>
          </w:p>
          <w:p w14:paraId="5738FAF7" w14:textId="77777777" w:rsidR="00D167BA" w:rsidRDefault="00D167BA" w:rsidP="005748FE">
            <w:pPr>
              <w:pStyle w:val="NoSpacing"/>
            </w:pPr>
          </w:p>
          <w:p w14:paraId="7E346102" w14:textId="492623D2" w:rsidR="00D167BA" w:rsidRDefault="00D167BA" w:rsidP="005748FE">
            <w:pPr>
              <w:pStyle w:val="NoSpacing"/>
            </w:pPr>
          </w:p>
        </w:tc>
        <w:tc>
          <w:tcPr>
            <w:tcW w:w="8857" w:type="dxa"/>
            <w:gridSpan w:val="2"/>
          </w:tcPr>
          <w:p w14:paraId="77281EFE" w14:textId="77777777" w:rsidR="00175ADC" w:rsidRDefault="005B4D3F" w:rsidP="057B8305">
            <w:pPr>
              <w:jc w:val="both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The top five reasons for absence were identified as</w:t>
            </w:r>
            <w:r w:rsidR="00E251D5">
              <w:rPr>
                <w:rFonts w:ascii="Arial" w:eastAsia="Calibri" w:hAnsi="Arial" w:cs="Arial"/>
                <w:szCs w:val="24"/>
              </w:rPr>
              <w:t>:</w:t>
            </w:r>
          </w:p>
          <w:p w14:paraId="32991C82" w14:textId="77777777" w:rsidR="005E5A6F" w:rsidRPr="00883DE5" w:rsidRDefault="005E5A6F" w:rsidP="057B8305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  <w:p w14:paraId="1DA48DF5" w14:textId="36E770F5" w:rsidR="00E251D5" w:rsidRPr="00883DE5" w:rsidRDefault="00E251D5" w:rsidP="00FF75A7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83DE5">
              <w:rPr>
                <w:rFonts w:ascii="Arial" w:hAnsi="Arial" w:cs="Arial"/>
                <w:sz w:val="24"/>
                <w:szCs w:val="24"/>
              </w:rPr>
              <w:t xml:space="preserve">Cold </w:t>
            </w:r>
            <w:r w:rsidR="00246F61" w:rsidRPr="00883DE5">
              <w:rPr>
                <w:rFonts w:ascii="Arial" w:hAnsi="Arial" w:cs="Arial"/>
                <w:sz w:val="24"/>
                <w:szCs w:val="24"/>
              </w:rPr>
              <w:t xml:space="preserve"> 29.5</w:t>
            </w:r>
            <w:r w:rsidR="005E5A6F" w:rsidRPr="00883DE5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="00246F61" w:rsidRPr="00883DE5">
              <w:rPr>
                <w:rFonts w:ascii="Arial" w:hAnsi="Arial" w:cs="Arial"/>
                <w:sz w:val="24"/>
                <w:szCs w:val="24"/>
              </w:rPr>
              <w:t>%</w:t>
            </w:r>
          </w:p>
          <w:p w14:paraId="004D4B82" w14:textId="77777777" w:rsidR="00246F61" w:rsidRPr="00883DE5" w:rsidRDefault="001A499A" w:rsidP="00FF75A7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DE5">
              <w:rPr>
                <w:rFonts w:ascii="Arial" w:hAnsi="Arial" w:cs="Arial"/>
                <w:sz w:val="24"/>
                <w:szCs w:val="24"/>
              </w:rPr>
              <w:t>COVID 19.75%</w:t>
            </w:r>
          </w:p>
          <w:p w14:paraId="23F494C2" w14:textId="699E411B" w:rsidR="001A499A" w:rsidRPr="00883DE5" w:rsidRDefault="007039FD" w:rsidP="00FF75A7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DE5">
              <w:rPr>
                <w:rFonts w:ascii="Arial" w:hAnsi="Arial" w:cs="Arial"/>
                <w:sz w:val="24"/>
                <w:szCs w:val="24"/>
              </w:rPr>
              <w:t xml:space="preserve">Gastro </w:t>
            </w:r>
            <w:r w:rsidR="00593C21" w:rsidRPr="00883DE5">
              <w:rPr>
                <w:rFonts w:ascii="Arial" w:hAnsi="Arial" w:cs="Arial"/>
                <w:sz w:val="24"/>
                <w:szCs w:val="24"/>
              </w:rPr>
              <w:t>15.5</w:t>
            </w:r>
            <w:r w:rsidR="002D1893" w:rsidRPr="00883DE5">
              <w:rPr>
                <w:rFonts w:ascii="Arial" w:hAnsi="Arial" w:cs="Arial"/>
                <w:sz w:val="24"/>
                <w:szCs w:val="24"/>
              </w:rPr>
              <w:t>0</w:t>
            </w:r>
            <w:r w:rsidR="00593C21" w:rsidRPr="00883DE5">
              <w:rPr>
                <w:rFonts w:ascii="Arial" w:hAnsi="Arial" w:cs="Arial"/>
                <w:sz w:val="24"/>
                <w:szCs w:val="24"/>
              </w:rPr>
              <w:t>%</w:t>
            </w:r>
          </w:p>
          <w:p w14:paraId="5A1E9BAF" w14:textId="77777777" w:rsidR="00593C21" w:rsidRPr="00883DE5" w:rsidRDefault="00593C21" w:rsidP="00FF75A7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3DE5">
              <w:rPr>
                <w:rFonts w:ascii="Arial" w:hAnsi="Arial" w:cs="Arial"/>
                <w:sz w:val="24"/>
                <w:szCs w:val="24"/>
              </w:rPr>
              <w:t>Headaches 9.75%</w:t>
            </w:r>
          </w:p>
          <w:p w14:paraId="55C70295" w14:textId="5B816CC4" w:rsidR="00593C21" w:rsidRPr="00883DE5" w:rsidRDefault="00593C21" w:rsidP="00FF75A7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83DE5">
              <w:rPr>
                <w:rFonts w:ascii="Arial" w:hAnsi="Arial" w:cs="Arial"/>
                <w:sz w:val="24"/>
                <w:szCs w:val="24"/>
              </w:rPr>
              <w:t xml:space="preserve">Mental Health </w:t>
            </w:r>
            <w:r w:rsidR="0088637B" w:rsidRPr="00883DE5">
              <w:rPr>
                <w:rFonts w:ascii="Arial" w:hAnsi="Arial" w:cs="Arial"/>
                <w:sz w:val="24"/>
                <w:szCs w:val="24"/>
              </w:rPr>
              <w:t>7.65%</w:t>
            </w:r>
          </w:p>
          <w:p w14:paraId="2356FBB7" w14:textId="77777777" w:rsidR="00AE7BE8" w:rsidRDefault="00B05294" w:rsidP="00FF75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The remaining </w:t>
            </w:r>
            <w:r w:rsidR="00E74EBA">
              <w:rPr>
                <w:rFonts w:ascii="Arial" w:hAnsi="Arial" w:cs="Arial"/>
                <w:szCs w:val="24"/>
              </w:rPr>
              <w:t>‘other’ absences would include reasons such as</w:t>
            </w:r>
            <w:r w:rsidR="00801A38">
              <w:rPr>
                <w:rFonts w:ascii="Arial" w:hAnsi="Arial" w:cs="Arial"/>
                <w:szCs w:val="24"/>
              </w:rPr>
              <w:t xml:space="preserve"> </w:t>
            </w:r>
            <w:r w:rsidR="00CD1AEE">
              <w:rPr>
                <w:rFonts w:ascii="Arial" w:hAnsi="Arial" w:cs="Arial"/>
                <w:szCs w:val="24"/>
              </w:rPr>
              <w:t>rheum</w:t>
            </w:r>
            <w:r w:rsidR="008B5D5F">
              <w:rPr>
                <w:rFonts w:ascii="Arial" w:hAnsi="Arial" w:cs="Arial"/>
                <w:szCs w:val="24"/>
              </w:rPr>
              <w:t>atological, gynae</w:t>
            </w:r>
            <w:r w:rsidR="00423817">
              <w:rPr>
                <w:rFonts w:ascii="Arial" w:hAnsi="Arial" w:cs="Arial"/>
                <w:szCs w:val="24"/>
              </w:rPr>
              <w:t>cological, surgical operations</w:t>
            </w:r>
            <w:r w:rsidR="00811F37">
              <w:rPr>
                <w:rFonts w:ascii="Arial" w:hAnsi="Arial" w:cs="Arial"/>
                <w:szCs w:val="24"/>
              </w:rPr>
              <w:t>, strokes</w:t>
            </w:r>
            <w:r w:rsidR="001B6990">
              <w:rPr>
                <w:rFonts w:ascii="Arial" w:hAnsi="Arial" w:cs="Arial"/>
                <w:szCs w:val="24"/>
              </w:rPr>
              <w:t xml:space="preserve">, </w:t>
            </w:r>
            <w:r w:rsidR="00CE444C">
              <w:rPr>
                <w:rFonts w:ascii="Arial" w:hAnsi="Arial" w:cs="Arial"/>
                <w:szCs w:val="24"/>
              </w:rPr>
              <w:t xml:space="preserve">sprains, </w:t>
            </w:r>
            <w:r w:rsidR="001B6990">
              <w:rPr>
                <w:rFonts w:ascii="Arial" w:hAnsi="Arial" w:cs="Arial"/>
                <w:szCs w:val="24"/>
              </w:rPr>
              <w:t>UTIs</w:t>
            </w:r>
            <w:r w:rsidR="00811F37">
              <w:rPr>
                <w:rFonts w:ascii="Arial" w:hAnsi="Arial" w:cs="Arial"/>
                <w:szCs w:val="24"/>
              </w:rPr>
              <w:t xml:space="preserve"> and cancer</w:t>
            </w:r>
            <w:r w:rsidR="00E74EBA">
              <w:rPr>
                <w:rFonts w:ascii="Arial" w:hAnsi="Arial" w:cs="Arial"/>
                <w:szCs w:val="24"/>
              </w:rPr>
              <w:t>:</w:t>
            </w:r>
          </w:p>
          <w:p w14:paraId="15897144" w14:textId="432952B6" w:rsidR="00B209BE" w:rsidRPr="000B203F" w:rsidRDefault="00E74EBA" w:rsidP="000B203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3A7A7AF2" w14:textId="21D0FD9D" w:rsidR="0088637B" w:rsidRPr="00E251D5" w:rsidRDefault="0088637B" w:rsidP="00FF75A7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Arial" w:hAnsi="Arial" w:cs="Arial"/>
                <w:szCs w:val="24"/>
              </w:rPr>
            </w:pPr>
            <w:r w:rsidRPr="00883DE5">
              <w:rPr>
                <w:rFonts w:ascii="Arial" w:hAnsi="Arial" w:cs="Arial"/>
                <w:sz w:val="24"/>
                <w:szCs w:val="24"/>
              </w:rPr>
              <w:t xml:space="preserve">Other </w:t>
            </w:r>
            <w:r w:rsidR="002D1893" w:rsidRPr="00883DE5">
              <w:rPr>
                <w:rFonts w:ascii="Arial" w:hAnsi="Arial" w:cs="Arial"/>
                <w:sz w:val="24"/>
                <w:szCs w:val="24"/>
              </w:rPr>
              <w:t>17.85%</w:t>
            </w:r>
          </w:p>
        </w:tc>
      </w:tr>
      <w:tr w:rsidR="00CE6306" w:rsidRPr="00A90AA3" w14:paraId="4A2323E1" w14:textId="77777777" w:rsidTr="006D308B">
        <w:trPr>
          <w:gridAfter w:val="2"/>
          <w:wAfter w:w="283" w:type="dxa"/>
        </w:trPr>
        <w:tc>
          <w:tcPr>
            <w:tcW w:w="1134" w:type="dxa"/>
          </w:tcPr>
          <w:p w14:paraId="6EE21D82" w14:textId="77777777" w:rsidR="00B0155E" w:rsidRDefault="008D257A" w:rsidP="005748FE">
            <w:pPr>
              <w:pStyle w:val="NoSpacing"/>
            </w:pPr>
            <w:r>
              <w:t>4.4.2</w:t>
            </w:r>
          </w:p>
          <w:p w14:paraId="678E5F31" w14:textId="77777777" w:rsidR="00F0048F" w:rsidRDefault="00F0048F" w:rsidP="005748FE">
            <w:pPr>
              <w:pStyle w:val="NoSpacing"/>
            </w:pPr>
          </w:p>
          <w:p w14:paraId="407E1D48" w14:textId="77777777" w:rsidR="00F0048F" w:rsidRDefault="00F0048F" w:rsidP="005748FE">
            <w:pPr>
              <w:pStyle w:val="NoSpacing"/>
            </w:pPr>
          </w:p>
          <w:p w14:paraId="535567BE" w14:textId="77777777" w:rsidR="00F0048F" w:rsidRDefault="00F0048F" w:rsidP="005748FE">
            <w:pPr>
              <w:pStyle w:val="NoSpacing"/>
            </w:pPr>
          </w:p>
          <w:p w14:paraId="21AD3E3D" w14:textId="66F4D2B2" w:rsidR="00F0048F" w:rsidRDefault="00F0048F" w:rsidP="005748FE">
            <w:pPr>
              <w:pStyle w:val="NoSpacing"/>
            </w:pPr>
            <w:r>
              <w:t>4.4.3</w:t>
            </w:r>
          </w:p>
        </w:tc>
        <w:tc>
          <w:tcPr>
            <w:tcW w:w="8857" w:type="dxa"/>
            <w:gridSpan w:val="2"/>
          </w:tcPr>
          <w:p w14:paraId="66119026" w14:textId="21707BF3" w:rsidR="008267F2" w:rsidRDefault="00B0155E" w:rsidP="057B8305">
            <w:pPr>
              <w:jc w:val="both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It is clear from reviewing these figures that there is work to be done </w:t>
            </w:r>
            <w:r w:rsidR="00883DE5">
              <w:rPr>
                <w:rFonts w:ascii="Arial" w:eastAsia="Calibri" w:hAnsi="Arial" w:cs="Arial"/>
                <w:szCs w:val="24"/>
              </w:rPr>
              <w:t xml:space="preserve">in all services </w:t>
            </w:r>
            <w:r>
              <w:rPr>
                <w:rFonts w:ascii="Arial" w:eastAsia="Calibri" w:hAnsi="Arial" w:cs="Arial"/>
                <w:szCs w:val="24"/>
              </w:rPr>
              <w:t xml:space="preserve">to address </w:t>
            </w:r>
            <w:r w:rsidR="00883DE5">
              <w:rPr>
                <w:rFonts w:ascii="Arial" w:eastAsia="Calibri" w:hAnsi="Arial" w:cs="Arial"/>
                <w:szCs w:val="24"/>
              </w:rPr>
              <w:t xml:space="preserve">some of </w:t>
            </w:r>
            <w:r>
              <w:rPr>
                <w:rFonts w:ascii="Arial" w:eastAsia="Calibri" w:hAnsi="Arial" w:cs="Arial"/>
                <w:szCs w:val="24"/>
              </w:rPr>
              <w:t>the short</w:t>
            </w:r>
            <w:r w:rsidR="00695D6E">
              <w:rPr>
                <w:rFonts w:ascii="Arial" w:eastAsia="Calibri" w:hAnsi="Arial" w:cs="Arial"/>
                <w:szCs w:val="24"/>
              </w:rPr>
              <w:t>-</w:t>
            </w:r>
            <w:r>
              <w:rPr>
                <w:rFonts w:ascii="Arial" w:eastAsia="Calibri" w:hAnsi="Arial" w:cs="Arial"/>
                <w:szCs w:val="24"/>
              </w:rPr>
              <w:t xml:space="preserve">term absences and </w:t>
            </w:r>
            <w:r w:rsidR="008267F2">
              <w:rPr>
                <w:rFonts w:ascii="Arial" w:eastAsia="Calibri" w:hAnsi="Arial" w:cs="Arial"/>
                <w:szCs w:val="24"/>
              </w:rPr>
              <w:t xml:space="preserve">work with employees to try to reduce </w:t>
            </w:r>
            <w:r w:rsidR="00224BEE">
              <w:rPr>
                <w:rFonts w:ascii="Arial" w:eastAsia="Calibri" w:hAnsi="Arial" w:cs="Arial"/>
                <w:szCs w:val="24"/>
              </w:rPr>
              <w:t>these</w:t>
            </w:r>
            <w:r w:rsidR="008267F2">
              <w:rPr>
                <w:rFonts w:ascii="Arial" w:eastAsia="Calibri" w:hAnsi="Arial" w:cs="Arial"/>
                <w:szCs w:val="24"/>
              </w:rPr>
              <w:t>.</w:t>
            </w:r>
          </w:p>
          <w:p w14:paraId="6127D207" w14:textId="77777777" w:rsidR="00B31CFC" w:rsidRDefault="00B31CFC" w:rsidP="057B8305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  <w:p w14:paraId="4287E456" w14:textId="38170CF3" w:rsidR="00B31CFC" w:rsidRDefault="00B31CFC" w:rsidP="057B8305">
            <w:pPr>
              <w:jc w:val="both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Board Members will be given a </w:t>
            </w:r>
            <w:r w:rsidR="000C694E">
              <w:rPr>
                <w:rFonts w:ascii="Arial" w:eastAsia="Calibri" w:hAnsi="Arial" w:cs="Arial"/>
                <w:szCs w:val="24"/>
              </w:rPr>
              <w:t xml:space="preserve">summary </w:t>
            </w:r>
            <w:r>
              <w:rPr>
                <w:rFonts w:ascii="Arial" w:eastAsia="Calibri" w:hAnsi="Arial" w:cs="Arial"/>
                <w:szCs w:val="24"/>
              </w:rPr>
              <w:t>presentation on</w:t>
            </w:r>
            <w:r w:rsidR="000C694E">
              <w:rPr>
                <w:rFonts w:ascii="Arial" w:eastAsia="Calibri" w:hAnsi="Arial" w:cs="Arial"/>
                <w:szCs w:val="24"/>
              </w:rPr>
              <w:t xml:space="preserve"> the findings of the review at the meeting</w:t>
            </w:r>
            <w:r>
              <w:rPr>
                <w:rFonts w:ascii="Arial" w:eastAsia="Calibri" w:hAnsi="Arial" w:cs="Arial"/>
                <w:szCs w:val="24"/>
              </w:rPr>
              <w:t xml:space="preserve">. </w:t>
            </w:r>
          </w:p>
          <w:p w14:paraId="0E395FF6" w14:textId="33B29BD9" w:rsidR="00B0155E" w:rsidRDefault="008267F2" w:rsidP="057B8305">
            <w:pPr>
              <w:jc w:val="both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</w:tr>
      <w:tr w:rsidR="00CE6306" w:rsidRPr="00A90AA3" w14:paraId="3F847141" w14:textId="77777777" w:rsidTr="006D308B">
        <w:trPr>
          <w:gridAfter w:val="2"/>
          <w:wAfter w:w="283" w:type="dxa"/>
        </w:trPr>
        <w:tc>
          <w:tcPr>
            <w:tcW w:w="1134" w:type="dxa"/>
          </w:tcPr>
          <w:p w14:paraId="197926CF" w14:textId="7CD4A4F7" w:rsidR="008267F2" w:rsidRDefault="008D257A" w:rsidP="005748FE">
            <w:pPr>
              <w:pStyle w:val="NoSpacing"/>
            </w:pPr>
            <w:r>
              <w:t>4.5</w:t>
            </w:r>
          </w:p>
          <w:p w14:paraId="418877E7" w14:textId="77777777" w:rsidR="002A1989" w:rsidRDefault="002A1989" w:rsidP="005748FE">
            <w:pPr>
              <w:pStyle w:val="NoSpacing"/>
            </w:pPr>
          </w:p>
          <w:p w14:paraId="4CFD4586" w14:textId="77777777" w:rsidR="002A1989" w:rsidRDefault="008D257A" w:rsidP="005748FE">
            <w:pPr>
              <w:pStyle w:val="NoSpacing"/>
            </w:pPr>
            <w:r>
              <w:t>4.</w:t>
            </w:r>
            <w:r w:rsidR="005E7F18">
              <w:t>6</w:t>
            </w:r>
          </w:p>
          <w:p w14:paraId="4411D929" w14:textId="77777777" w:rsidR="00C54DDE" w:rsidRDefault="00C54DDE" w:rsidP="005748FE">
            <w:pPr>
              <w:pStyle w:val="NoSpacing"/>
            </w:pPr>
          </w:p>
          <w:p w14:paraId="5D15012F" w14:textId="7E2A17F8" w:rsidR="002A1989" w:rsidRDefault="00C54DDE" w:rsidP="005748FE">
            <w:pPr>
              <w:pStyle w:val="NoSpacing"/>
            </w:pPr>
            <w:r>
              <w:t>4.6</w:t>
            </w:r>
            <w:r w:rsidR="008D257A">
              <w:t>.1</w:t>
            </w:r>
          </w:p>
        </w:tc>
        <w:tc>
          <w:tcPr>
            <w:tcW w:w="8857" w:type="dxa"/>
            <w:gridSpan w:val="2"/>
          </w:tcPr>
          <w:p w14:paraId="6E2CA5FB" w14:textId="77777777" w:rsidR="008267F2" w:rsidRPr="003E6C16" w:rsidRDefault="00DD1F26" w:rsidP="057B8305">
            <w:pPr>
              <w:jc w:val="both"/>
              <w:rPr>
                <w:rFonts w:ascii="Arial" w:eastAsia="Calibri" w:hAnsi="Arial" w:cs="Arial"/>
                <w:szCs w:val="24"/>
                <w:u w:val="single"/>
              </w:rPr>
            </w:pPr>
            <w:r w:rsidRPr="003E6C16">
              <w:rPr>
                <w:rFonts w:ascii="Arial" w:eastAsia="Calibri" w:hAnsi="Arial" w:cs="Arial"/>
                <w:szCs w:val="24"/>
                <w:u w:val="single"/>
              </w:rPr>
              <w:t>Interventions available to support absence management</w:t>
            </w:r>
          </w:p>
          <w:p w14:paraId="201C9CD6" w14:textId="77777777" w:rsidR="00BA32B0" w:rsidRDefault="00BA32B0" w:rsidP="057B8305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  <w:p w14:paraId="0DA62C03" w14:textId="171ECAD6" w:rsidR="00BA32B0" w:rsidRPr="003E6C16" w:rsidRDefault="00312474" w:rsidP="057B8305">
            <w:pPr>
              <w:jc w:val="both"/>
              <w:rPr>
                <w:rFonts w:ascii="Arial" w:eastAsia="Calibri" w:hAnsi="Arial" w:cs="Arial"/>
                <w:szCs w:val="24"/>
                <w:u w:val="single"/>
              </w:rPr>
            </w:pPr>
            <w:r w:rsidRPr="003E6C16">
              <w:rPr>
                <w:rFonts w:ascii="Arial" w:eastAsia="Calibri" w:hAnsi="Arial" w:cs="Arial"/>
                <w:szCs w:val="24"/>
                <w:u w:val="single"/>
              </w:rPr>
              <w:t>Occupational Health</w:t>
            </w:r>
          </w:p>
          <w:p w14:paraId="2928F427" w14:textId="77777777" w:rsidR="00C54DDE" w:rsidRPr="003E6C16" w:rsidRDefault="00C54DDE" w:rsidP="057B8305">
            <w:pPr>
              <w:jc w:val="both"/>
              <w:rPr>
                <w:rFonts w:ascii="Arial" w:eastAsia="Calibri" w:hAnsi="Arial" w:cs="Arial"/>
                <w:szCs w:val="24"/>
                <w:u w:val="single"/>
              </w:rPr>
            </w:pPr>
          </w:p>
          <w:p w14:paraId="09DB5CD1" w14:textId="0D09C913" w:rsidR="00BA32B0" w:rsidRDefault="00A0361A" w:rsidP="002A1989">
            <w:pPr>
              <w:jc w:val="both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The</w:t>
            </w:r>
            <w:r w:rsidR="00CC6186">
              <w:rPr>
                <w:rFonts w:ascii="Arial" w:eastAsia="Calibri" w:hAnsi="Arial" w:cs="Arial"/>
                <w:szCs w:val="24"/>
              </w:rPr>
              <w:t xml:space="preserve"> OH clinician is able to provide inde</w:t>
            </w:r>
            <w:r w:rsidR="00387EB3">
              <w:rPr>
                <w:rFonts w:ascii="Arial" w:eastAsia="Calibri" w:hAnsi="Arial" w:cs="Arial"/>
                <w:szCs w:val="24"/>
              </w:rPr>
              <w:t>p</w:t>
            </w:r>
            <w:r w:rsidR="00CC6186">
              <w:rPr>
                <w:rFonts w:ascii="Arial" w:eastAsia="Calibri" w:hAnsi="Arial" w:cs="Arial"/>
                <w:szCs w:val="24"/>
              </w:rPr>
              <w:t>endent, evidence</w:t>
            </w:r>
            <w:r w:rsidR="00F0048F">
              <w:rPr>
                <w:rFonts w:ascii="Arial" w:eastAsia="Calibri" w:hAnsi="Arial" w:cs="Arial"/>
                <w:szCs w:val="24"/>
              </w:rPr>
              <w:t>-</w:t>
            </w:r>
            <w:r w:rsidR="00CC6186">
              <w:rPr>
                <w:rFonts w:ascii="Arial" w:eastAsia="Calibri" w:hAnsi="Arial" w:cs="Arial"/>
                <w:szCs w:val="24"/>
              </w:rPr>
              <w:t>based opinion and advice which will enable managers to make well informed decisions on how to manage</w:t>
            </w:r>
            <w:r w:rsidR="00387EB3">
              <w:rPr>
                <w:rFonts w:ascii="Arial" w:eastAsia="Calibri" w:hAnsi="Arial" w:cs="Arial"/>
                <w:szCs w:val="24"/>
              </w:rPr>
              <w:t xml:space="preserve"> an employee (both at work and </w:t>
            </w:r>
            <w:r>
              <w:rPr>
                <w:rFonts w:ascii="Arial" w:eastAsia="Calibri" w:hAnsi="Arial" w:cs="Arial"/>
                <w:szCs w:val="24"/>
              </w:rPr>
              <w:t>in a</w:t>
            </w:r>
            <w:r w:rsidR="00387EB3">
              <w:rPr>
                <w:rFonts w:ascii="Arial" w:eastAsia="Calibri" w:hAnsi="Arial" w:cs="Arial"/>
                <w:szCs w:val="24"/>
              </w:rPr>
              <w:t xml:space="preserve"> return to work</w:t>
            </w:r>
            <w:r>
              <w:rPr>
                <w:rFonts w:ascii="Arial" w:eastAsia="Calibri" w:hAnsi="Arial" w:cs="Arial"/>
                <w:szCs w:val="24"/>
              </w:rPr>
              <w:t>)</w:t>
            </w:r>
            <w:r w:rsidR="0023170B">
              <w:rPr>
                <w:rFonts w:ascii="Arial" w:eastAsia="Calibri" w:hAnsi="Arial" w:cs="Arial"/>
                <w:szCs w:val="24"/>
              </w:rPr>
              <w:t>.  This service is aimed at improving staff wellbeing and reducing absence</w:t>
            </w:r>
            <w:r w:rsidR="00215DF9">
              <w:rPr>
                <w:rFonts w:ascii="Arial" w:eastAsia="Calibri" w:hAnsi="Arial" w:cs="Arial"/>
                <w:szCs w:val="24"/>
              </w:rPr>
              <w:t xml:space="preserve">.  </w:t>
            </w:r>
            <w:proofErr w:type="gramStart"/>
            <w:r w:rsidR="00215DF9">
              <w:rPr>
                <w:rFonts w:ascii="Arial" w:eastAsia="Calibri" w:hAnsi="Arial" w:cs="Arial"/>
                <w:szCs w:val="24"/>
              </w:rPr>
              <w:t>OH</w:t>
            </w:r>
            <w:proofErr w:type="gramEnd"/>
            <w:r w:rsidR="00215DF9">
              <w:rPr>
                <w:rFonts w:ascii="Arial" w:eastAsia="Calibri" w:hAnsi="Arial" w:cs="Arial"/>
                <w:szCs w:val="24"/>
              </w:rPr>
              <w:t xml:space="preserve"> will also provide managers with advice to consider regarding phased return or reasonable adjustments</w:t>
            </w:r>
            <w:r w:rsidR="002A1989">
              <w:rPr>
                <w:rFonts w:ascii="Arial" w:eastAsia="Calibri" w:hAnsi="Arial" w:cs="Arial"/>
                <w:szCs w:val="24"/>
              </w:rPr>
              <w:t>, for example.</w:t>
            </w:r>
          </w:p>
        </w:tc>
      </w:tr>
      <w:tr w:rsidR="00CE6306" w:rsidRPr="00A90AA3" w14:paraId="405F21FE" w14:textId="77777777" w:rsidTr="006D308B">
        <w:trPr>
          <w:gridAfter w:val="2"/>
          <w:wAfter w:w="283" w:type="dxa"/>
        </w:trPr>
        <w:tc>
          <w:tcPr>
            <w:tcW w:w="1134" w:type="dxa"/>
          </w:tcPr>
          <w:p w14:paraId="40BC41CD" w14:textId="77777777" w:rsidR="002A1989" w:rsidRDefault="002A1989" w:rsidP="005748FE">
            <w:pPr>
              <w:pStyle w:val="NoSpacing"/>
            </w:pPr>
          </w:p>
        </w:tc>
        <w:tc>
          <w:tcPr>
            <w:tcW w:w="8857" w:type="dxa"/>
            <w:gridSpan w:val="2"/>
          </w:tcPr>
          <w:p w14:paraId="11352F2A" w14:textId="77777777" w:rsidR="002A1989" w:rsidRDefault="002A1989" w:rsidP="057B8305">
            <w:pPr>
              <w:jc w:val="both"/>
              <w:rPr>
                <w:rFonts w:ascii="Arial" w:eastAsia="Calibri" w:hAnsi="Arial" w:cs="Arial"/>
                <w:szCs w:val="24"/>
              </w:rPr>
            </w:pPr>
          </w:p>
        </w:tc>
      </w:tr>
      <w:tr w:rsidR="00CE6306" w:rsidRPr="00A90AA3" w14:paraId="004B3724" w14:textId="77777777" w:rsidTr="006D308B">
        <w:trPr>
          <w:gridAfter w:val="2"/>
          <w:wAfter w:w="283" w:type="dxa"/>
        </w:trPr>
        <w:tc>
          <w:tcPr>
            <w:tcW w:w="1134" w:type="dxa"/>
          </w:tcPr>
          <w:p w14:paraId="65209222" w14:textId="3974E7B4" w:rsidR="00601F6D" w:rsidRDefault="009A1ACE" w:rsidP="00601F6D">
            <w:pPr>
              <w:pStyle w:val="NoSpacing"/>
              <w:ind w:left="720" w:hanging="683"/>
            </w:pPr>
            <w:r>
              <w:t>4.</w:t>
            </w:r>
            <w:r w:rsidR="005E7F18">
              <w:t>6</w:t>
            </w:r>
            <w:r>
              <w:t>.2</w:t>
            </w:r>
          </w:p>
        </w:tc>
        <w:tc>
          <w:tcPr>
            <w:tcW w:w="8857" w:type="dxa"/>
            <w:gridSpan w:val="2"/>
          </w:tcPr>
          <w:p w14:paraId="2D93204F" w14:textId="73A77CF2" w:rsidR="00601F6D" w:rsidRPr="00BF29A1" w:rsidRDefault="000E27D6" w:rsidP="005B1556">
            <w:pPr>
              <w:shd w:val="clear" w:color="auto" w:fill="FFFFFF"/>
              <w:jc w:val="both"/>
              <w:rPr>
                <w:rFonts w:ascii="Arial" w:eastAsia="Calibri" w:hAnsi="Arial" w:cs="Arial"/>
                <w:bCs/>
                <w:szCs w:val="24"/>
              </w:rPr>
            </w:pPr>
            <w:r>
              <w:rPr>
                <w:rFonts w:ascii="Arial" w:eastAsia="Calibri" w:hAnsi="Arial" w:cs="Arial"/>
                <w:bCs/>
                <w:szCs w:val="24"/>
              </w:rPr>
              <w:t>With the appointment of a new OH provider recently, the H</w:t>
            </w:r>
            <w:r w:rsidR="00FB7A39">
              <w:rPr>
                <w:rFonts w:ascii="Arial" w:eastAsia="Calibri" w:hAnsi="Arial" w:cs="Arial"/>
                <w:bCs/>
                <w:szCs w:val="24"/>
              </w:rPr>
              <w:t>R Officer, supported by the Head of HR, has</w:t>
            </w:r>
            <w:r w:rsidR="00217D2C">
              <w:rPr>
                <w:rFonts w:ascii="Arial" w:eastAsia="Calibri" w:hAnsi="Arial" w:cs="Arial"/>
                <w:bCs/>
                <w:szCs w:val="24"/>
              </w:rPr>
              <w:t>, to date</w:t>
            </w:r>
            <w:r w:rsidR="00385A9C">
              <w:rPr>
                <w:rFonts w:ascii="Arial" w:eastAsia="Calibri" w:hAnsi="Arial" w:cs="Arial"/>
                <w:bCs/>
                <w:szCs w:val="24"/>
              </w:rPr>
              <w:t>,</w:t>
            </w:r>
            <w:r w:rsidR="00FB7A39">
              <w:rPr>
                <w:rFonts w:ascii="Arial" w:eastAsia="Calibri" w:hAnsi="Arial" w:cs="Arial"/>
                <w:bCs/>
                <w:szCs w:val="24"/>
              </w:rPr>
              <w:t xml:space="preserve"> facilitated, three training sessions for line managers</w:t>
            </w:r>
            <w:r w:rsidR="00092DA4">
              <w:rPr>
                <w:rFonts w:ascii="Arial" w:eastAsia="Calibri" w:hAnsi="Arial" w:cs="Arial"/>
                <w:bCs/>
                <w:szCs w:val="24"/>
              </w:rPr>
              <w:t xml:space="preserve">, which </w:t>
            </w:r>
            <w:r w:rsidR="00385A9C">
              <w:rPr>
                <w:rFonts w:ascii="Arial" w:eastAsia="Calibri" w:hAnsi="Arial" w:cs="Arial"/>
                <w:bCs/>
                <w:szCs w:val="24"/>
              </w:rPr>
              <w:t xml:space="preserve">not only outlines the process and reasons for </w:t>
            </w:r>
            <w:r w:rsidR="006D18FE">
              <w:rPr>
                <w:rFonts w:ascii="Arial" w:eastAsia="Calibri" w:hAnsi="Arial" w:cs="Arial"/>
                <w:bCs/>
                <w:szCs w:val="24"/>
              </w:rPr>
              <w:t xml:space="preserve">OH referrals </w:t>
            </w:r>
            <w:r w:rsidR="005E7F18">
              <w:rPr>
                <w:rFonts w:ascii="Arial" w:eastAsia="Calibri" w:hAnsi="Arial" w:cs="Arial"/>
                <w:bCs/>
                <w:szCs w:val="24"/>
              </w:rPr>
              <w:t xml:space="preserve">but </w:t>
            </w:r>
            <w:r w:rsidR="006D18FE">
              <w:rPr>
                <w:rFonts w:ascii="Arial" w:eastAsia="Calibri" w:hAnsi="Arial" w:cs="Arial"/>
                <w:bCs/>
                <w:szCs w:val="24"/>
              </w:rPr>
              <w:t xml:space="preserve">also </w:t>
            </w:r>
            <w:r w:rsidR="00092DA4">
              <w:rPr>
                <w:rFonts w:ascii="Arial" w:eastAsia="Calibri" w:hAnsi="Arial" w:cs="Arial"/>
                <w:bCs/>
                <w:szCs w:val="24"/>
              </w:rPr>
              <w:t xml:space="preserve">reminds </w:t>
            </w:r>
            <w:r w:rsidR="006D18FE">
              <w:rPr>
                <w:rFonts w:ascii="Arial" w:eastAsia="Calibri" w:hAnsi="Arial" w:cs="Arial"/>
                <w:bCs/>
                <w:szCs w:val="24"/>
              </w:rPr>
              <w:lastRenderedPageBreak/>
              <w:t>managers</w:t>
            </w:r>
            <w:r w:rsidR="00092DA4">
              <w:rPr>
                <w:rFonts w:ascii="Arial" w:eastAsia="Calibri" w:hAnsi="Arial" w:cs="Arial"/>
                <w:bCs/>
                <w:szCs w:val="24"/>
              </w:rPr>
              <w:t xml:space="preserve"> </w:t>
            </w:r>
            <w:r w:rsidR="0035748A">
              <w:rPr>
                <w:rFonts w:ascii="Arial" w:eastAsia="Calibri" w:hAnsi="Arial" w:cs="Arial"/>
                <w:bCs/>
                <w:szCs w:val="24"/>
              </w:rPr>
              <w:t xml:space="preserve">of the importance of early intervention and </w:t>
            </w:r>
            <w:r w:rsidR="00092DA4">
              <w:rPr>
                <w:rFonts w:ascii="Arial" w:eastAsia="Calibri" w:hAnsi="Arial" w:cs="Arial"/>
                <w:bCs/>
                <w:szCs w:val="24"/>
              </w:rPr>
              <w:t>management of all abs</w:t>
            </w:r>
            <w:r w:rsidR="00867BE8">
              <w:rPr>
                <w:rFonts w:ascii="Arial" w:eastAsia="Calibri" w:hAnsi="Arial" w:cs="Arial"/>
                <w:bCs/>
                <w:szCs w:val="24"/>
              </w:rPr>
              <w:t xml:space="preserve">ences, not just the </w:t>
            </w:r>
            <w:proofErr w:type="gramStart"/>
            <w:r w:rsidR="00867BE8">
              <w:rPr>
                <w:rFonts w:ascii="Arial" w:eastAsia="Calibri" w:hAnsi="Arial" w:cs="Arial"/>
                <w:bCs/>
                <w:szCs w:val="24"/>
              </w:rPr>
              <w:t>long term</w:t>
            </w:r>
            <w:proofErr w:type="gramEnd"/>
            <w:r w:rsidR="00867BE8">
              <w:rPr>
                <w:rFonts w:ascii="Arial" w:eastAsia="Calibri" w:hAnsi="Arial" w:cs="Arial"/>
                <w:bCs/>
                <w:szCs w:val="24"/>
              </w:rPr>
              <w:t xml:space="preserve"> ones.</w:t>
            </w:r>
            <w:r w:rsidR="001F5639">
              <w:rPr>
                <w:rFonts w:ascii="Arial" w:eastAsia="Calibri" w:hAnsi="Arial" w:cs="Arial"/>
                <w:bCs/>
                <w:szCs w:val="24"/>
              </w:rPr>
              <w:t xml:space="preserve">  These sessions have been well attended and more are planned for later in the year.</w:t>
            </w:r>
          </w:p>
        </w:tc>
      </w:tr>
      <w:tr w:rsidR="00CE6306" w:rsidRPr="00A90AA3" w14:paraId="6BE8E6C4" w14:textId="77777777" w:rsidTr="006D308B">
        <w:trPr>
          <w:gridAfter w:val="2"/>
          <w:wAfter w:w="283" w:type="dxa"/>
        </w:trPr>
        <w:tc>
          <w:tcPr>
            <w:tcW w:w="1134" w:type="dxa"/>
          </w:tcPr>
          <w:p w14:paraId="070C5A23" w14:textId="77777777" w:rsidR="001E4F0C" w:rsidRDefault="001E4F0C" w:rsidP="00601F6D">
            <w:pPr>
              <w:pStyle w:val="NoSpacing"/>
              <w:ind w:left="720" w:hanging="683"/>
            </w:pPr>
          </w:p>
          <w:p w14:paraId="39F5D78D" w14:textId="272DC3DB" w:rsidR="001E4F0C" w:rsidRDefault="009A1ACE" w:rsidP="00601F6D">
            <w:pPr>
              <w:pStyle w:val="NoSpacing"/>
              <w:ind w:left="720" w:hanging="683"/>
            </w:pPr>
            <w:r>
              <w:t>4.</w:t>
            </w:r>
            <w:r w:rsidR="005E7F18">
              <w:t>6</w:t>
            </w:r>
            <w:r>
              <w:t>.3</w:t>
            </w:r>
          </w:p>
        </w:tc>
        <w:tc>
          <w:tcPr>
            <w:tcW w:w="8857" w:type="dxa"/>
            <w:gridSpan w:val="2"/>
          </w:tcPr>
          <w:p w14:paraId="73880307" w14:textId="77777777" w:rsidR="001E4F0C" w:rsidRDefault="001E4F0C" w:rsidP="005B1556">
            <w:pPr>
              <w:shd w:val="clear" w:color="auto" w:fill="FFFFFF"/>
              <w:jc w:val="both"/>
              <w:rPr>
                <w:rFonts w:ascii="Arial" w:eastAsia="Calibri" w:hAnsi="Arial" w:cs="Arial"/>
                <w:bCs/>
                <w:szCs w:val="24"/>
              </w:rPr>
            </w:pPr>
          </w:p>
          <w:p w14:paraId="275B12B1" w14:textId="142A4684" w:rsidR="001E4F0C" w:rsidRDefault="001E4F0C" w:rsidP="005B1556">
            <w:pPr>
              <w:shd w:val="clear" w:color="auto" w:fill="FFFFFF"/>
              <w:jc w:val="both"/>
              <w:rPr>
                <w:rFonts w:ascii="Arial" w:eastAsia="Calibri" w:hAnsi="Arial" w:cs="Arial"/>
                <w:bCs/>
                <w:szCs w:val="24"/>
              </w:rPr>
            </w:pPr>
            <w:r>
              <w:rPr>
                <w:rFonts w:ascii="Arial" w:eastAsia="Calibri" w:hAnsi="Arial" w:cs="Arial"/>
                <w:bCs/>
                <w:szCs w:val="24"/>
              </w:rPr>
              <w:t>It has been proven that early OH referrals can prevent an employee</w:t>
            </w:r>
            <w:r w:rsidR="00BD3EE3">
              <w:rPr>
                <w:rFonts w:ascii="Arial" w:eastAsia="Calibri" w:hAnsi="Arial" w:cs="Arial"/>
                <w:bCs/>
                <w:szCs w:val="24"/>
              </w:rPr>
              <w:t xml:space="preserve"> from going absent from work and can support employees to remain healthy at work</w:t>
            </w:r>
            <w:r w:rsidR="00B9302C">
              <w:rPr>
                <w:rFonts w:ascii="Arial" w:eastAsia="Calibri" w:hAnsi="Arial" w:cs="Arial"/>
                <w:bCs/>
                <w:szCs w:val="24"/>
              </w:rPr>
              <w:t xml:space="preserve">. As outlined in </w:t>
            </w:r>
            <w:r w:rsidR="00F0048F">
              <w:rPr>
                <w:rFonts w:ascii="Arial" w:eastAsia="Calibri" w:hAnsi="Arial" w:cs="Arial"/>
                <w:bCs/>
                <w:szCs w:val="24"/>
              </w:rPr>
              <w:t>4.2.7</w:t>
            </w:r>
            <w:r w:rsidR="00B9302C">
              <w:rPr>
                <w:rFonts w:ascii="Arial" w:eastAsia="Calibri" w:hAnsi="Arial" w:cs="Arial"/>
                <w:bCs/>
                <w:szCs w:val="24"/>
              </w:rPr>
              <w:t xml:space="preserve">, </w:t>
            </w:r>
            <w:r w:rsidR="005E578B">
              <w:rPr>
                <w:rFonts w:ascii="Arial" w:eastAsia="Calibri" w:hAnsi="Arial" w:cs="Arial"/>
                <w:bCs/>
                <w:szCs w:val="24"/>
              </w:rPr>
              <w:t>Managers are being encouraged to use the OH referral service proactively</w:t>
            </w:r>
            <w:r w:rsidR="00C22999">
              <w:rPr>
                <w:rFonts w:ascii="Arial" w:eastAsia="Calibri" w:hAnsi="Arial" w:cs="Arial"/>
                <w:bCs/>
                <w:szCs w:val="24"/>
              </w:rPr>
              <w:t xml:space="preserve"> and positively. </w:t>
            </w:r>
          </w:p>
        </w:tc>
      </w:tr>
      <w:tr w:rsidR="00CE6306" w:rsidRPr="00A90AA3" w14:paraId="570C392E" w14:textId="77777777" w:rsidTr="006D308B">
        <w:trPr>
          <w:gridAfter w:val="2"/>
          <w:wAfter w:w="283" w:type="dxa"/>
        </w:trPr>
        <w:tc>
          <w:tcPr>
            <w:tcW w:w="1134" w:type="dxa"/>
          </w:tcPr>
          <w:p w14:paraId="48F66DF3" w14:textId="01FC48DE" w:rsidR="00092EEC" w:rsidRDefault="00092EEC" w:rsidP="001C15C2">
            <w:pPr>
              <w:pStyle w:val="NoSpacing"/>
            </w:pPr>
          </w:p>
        </w:tc>
        <w:tc>
          <w:tcPr>
            <w:tcW w:w="8857" w:type="dxa"/>
            <w:gridSpan w:val="2"/>
          </w:tcPr>
          <w:p w14:paraId="30E4DD58" w14:textId="1F44B987" w:rsidR="00537589" w:rsidRDefault="00537589" w:rsidP="005B1556">
            <w:pPr>
              <w:shd w:val="clear" w:color="auto" w:fill="FFFFFF"/>
              <w:jc w:val="both"/>
              <w:rPr>
                <w:rFonts w:ascii="Arial" w:eastAsia="Calibri" w:hAnsi="Arial" w:cs="Arial"/>
                <w:bCs/>
                <w:szCs w:val="24"/>
              </w:rPr>
            </w:pPr>
          </w:p>
        </w:tc>
      </w:tr>
      <w:tr w:rsidR="00CE6306" w:rsidRPr="00A90AA3" w14:paraId="029E0903" w14:textId="77777777" w:rsidTr="006D308B">
        <w:trPr>
          <w:gridAfter w:val="2"/>
          <w:wAfter w:w="283" w:type="dxa"/>
        </w:trPr>
        <w:tc>
          <w:tcPr>
            <w:tcW w:w="1134" w:type="dxa"/>
          </w:tcPr>
          <w:p w14:paraId="3DC2B370" w14:textId="3F6F4EB7" w:rsidR="001235EB" w:rsidRDefault="009A1ACE" w:rsidP="00D167BA">
            <w:pPr>
              <w:pStyle w:val="NoSpacing"/>
            </w:pPr>
            <w:r>
              <w:t>4.</w:t>
            </w:r>
            <w:r w:rsidR="005E7F18">
              <w:t>7</w:t>
            </w:r>
          </w:p>
          <w:p w14:paraId="679A8421" w14:textId="77777777" w:rsidR="007E671F" w:rsidRDefault="007E671F" w:rsidP="00D167BA">
            <w:pPr>
              <w:pStyle w:val="NoSpacing"/>
            </w:pPr>
          </w:p>
          <w:p w14:paraId="5F5FFB69" w14:textId="1C48D932" w:rsidR="007E671F" w:rsidRDefault="007E671F" w:rsidP="00D167BA">
            <w:pPr>
              <w:pStyle w:val="NoSpacing"/>
            </w:pPr>
            <w:r>
              <w:t>4.</w:t>
            </w:r>
            <w:r w:rsidR="005E7F18">
              <w:t>7.1</w:t>
            </w:r>
          </w:p>
          <w:p w14:paraId="4D5493BB" w14:textId="77777777" w:rsidR="007E671F" w:rsidRDefault="007E671F" w:rsidP="00D167BA">
            <w:pPr>
              <w:pStyle w:val="NoSpacing"/>
            </w:pPr>
          </w:p>
          <w:p w14:paraId="5DDB394F" w14:textId="77777777" w:rsidR="00C54DDE" w:rsidRDefault="00C54DDE" w:rsidP="00D167BA">
            <w:pPr>
              <w:pStyle w:val="NoSpacing"/>
            </w:pPr>
          </w:p>
          <w:p w14:paraId="309617FA" w14:textId="77777777" w:rsidR="00C54DDE" w:rsidRDefault="00C54DDE" w:rsidP="00D167BA">
            <w:pPr>
              <w:pStyle w:val="NoSpacing"/>
            </w:pPr>
          </w:p>
          <w:p w14:paraId="0E772E3B" w14:textId="77777777" w:rsidR="00C54DDE" w:rsidRDefault="00C54DDE" w:rsidP="00D167BA">
            <w:pPr>
              <w:pStyle w:val="NoSpacing"/>
            </w:pPr>
          </w:p>
          <w:p w14:paraId="0AAD8C0A" w14:textId="5A0F6965" w:rsidR="007E671F" w:rsidRDefault="00C54DDE" w:rsidP="00D167BA">
            <w:pPr>
              <w:pStyle w:val="NoSpacing"/>
            </w:pPr>
            <w:r>
              <w:t>4.7.2</w:t>
            </w:r>
          </w:p>
        </w:tc>
        <w:tc>
          <w:tcPr>
            <w:tcW w:w="8857" w:type="dxa"/>
            <w:gridSpan w:val="2"/>
          </w:tcPr>
          <w:p w14:paraId="37AE1294" w14:textId="77777777" w:rsidR="001235EB" w:rsidRPr="003E6C16" w:rsidRDefault="001235EB" w:rsidP="005B1556">
            <w:pPr>
              <w:shd w:val="clear" w:color="auto" w:fill="FFFFFF"/>
              <w:jc w:val="both"/>
              <w:rPr>
                <w:rFonts w:ascii="Arial" w:eastAsia="Calibri" w:hAnsi="Arial" w:cs="Arial"/>
                <w:bCs/>
                <w:szCs w:val="24"/>
                <w:u w:val="single"/>
              </w:rPr>
            </w:pPr>
            <w:r w:rsidRPr="003E6C16">
              <w:rPr>
                <w:rFonts w:ascii="Arial" w:eastAsia="Calibri" w:hAnsi="Arial" w:cs="Arial"/>
                <w:bCs/>
                <w:szCs w:val="24"/>
                <w:u w:val="single"/>
              </w:rPr>
              <w:t>Counselling</w:t>
            </w:r>
          </w:p>
          <w:p w14:paraId="58ED3246" w14:textId="77777777" w:rsidR="00C54DDE" w:rsidRDefault="00C54DDE" w:rsidP="005B1556">
            <w:pPr>
              <w:shd w:val="clear" w:color="auto" w:fill="FFFFFF"/>
              <w:jc w:val="both"/>
              <w:rPr>
                <w:rFonts w:ascii="Arial" w:eastAsia="Calibri" w:hAnsi="Arial" w:cs="Arial"/>
                <w:bCs/>
                <w:szCs w:val="24"/>
              </w:rPr>
            </w:pPr>
          </w:p>
          <w:p w14:paraId="65671D70" w14:textId="7B6B2812" w:rsidR="00BD48D9" w:rsidRDefault="00BD48D9" w:rsidP="005B1556">
            <w:pPr>
              <w:shd w:val="clear" w:color="auto" w:fill="FFFFFF"/>
              <w:jc w:val="both"/>
              <w:rPr>
                <w:rFonts w:ascii="Arial" w:eastAsia="Calibri" w:hAnsi="Arial" w:cs="Arial"/>
                <w:bCs/>
                <w:szCs w:val="24"/>
              </w:rPr>
            </w:pPr>
            <w:r>
              <w:rPr>
                <w:rFonts w:ascii="Arial" w:eastAsia="Calibri" w:hAnsi="Arial" w:cs="Arial"/>
                <w:bCs/>
                <w:szCs w:val="24"/>
              </w:rPr>
              <w:t>There are some instances where referral to OH is not required but where managers</w:t>
            </w:r>
            <w:r w:rsidR="00B555AB">
              <w:rPr>
                <w:rFonts w:ascii="Arial" w:eastAsia="Calibri" w:hAnsi="Arial" w:cs="Arial"/>
                <w:bCs/>
                <w:szCs w:val="24"/>
              </w:rPr>
              <w:t>, or the employee themselves</w:t>
            </w:r>
            <w:r>
              <w:rPr>
                <w:rFonts w:ascii="Arial" w:eastAsia="Calibri" w:hAnsi="Arial" w:cs="Arial"/>
                <w:bCs/>
                <w:szCs w:val="24"/>
              </w:rPr>
              <w:t xml:space="preserve"> may have recognise</w:t>
            </w:r>
            <w:r w:rsidR="001F5639">
              <w:rPr>
                <w:rFonts w:ascii="Arial" w:eastAsia="Calibri" w:hAnsi="Arial" w:cs="Arial"/>
                <w:bCs/>
                <w:szCs w:val="24"/>
              </w:rPr>
              <w:t>d</w:t>
            </w:r>
            <w:r>
              <w:rPr>
                <w:rFonts w:ascii="Arial" w:eastAsia="Calibri" w:hAnsi="Arial" w:cs="Arial"/>
                <w:bCs/>
                <w:szCs w:val="24"/>
              </w:rPr>
              <w:t xml:space="preserve"> that </w:t>
            </w:r>
            <w:r w:rsidR="00B555AB">
              <w:rPr>
                <w:rFonts w:ascii="Arial" w:eastAsia="Calibri" w:hAnsi="Arial" w:cs="Arial"/>
                <w:bCs/>
                <w:szCs w:val="24"/>
              </w:rPr>
              <w:t>counselling may be of benefit</w:t>
            </w:r>
            <w:r w:rsidR="006D49C8">
              <w:rPr>
                <w:rFonts w:ascii="Arial" w:eastAsia="Calibri" w:hAnsi="Arial" w:cs="Arial"/>
                <w:bCs/>
                <w:szCs w:val="24"/>
              </w:rPr>
              <w:t xml:space="preserve">. HLH will normally cover the cost of up to six counselling sessions but if additional are required this will be discussed </w:t>
            </w:r>
            <w:r w:rsidR="00910F26">
              <w:rPr>
                <w:rFonts w:ascii="Arial" w:eastAsia="Calibri" w:hAnsi="Arial" w:cs="Arial"/>
                <w:bCs/>
                <w:szCs w:val="24"/>
              </w:rPr>
              <w:t>with the manager and employee.</w:t>
            </w:r>
          </w:p>
          <w:p w14:paraId="3D01E3B2" w14:textId="77777777" w:rsidR="00910F26" w:rsidRDefault="00910F26" w:rsidP="005B1556">
            <w:pPr>
              <w:shd w:val="clear" w:color="auto" w:fill="FFFFFF"/>
              <w:jc w:val="both"/>
              <w:rPr>
                <w:rFonts w:ascii="Arial" w:eastAsia="Calibri" w:hAnsi="Arial" w:cs="Arial"/>
                <w:bCs/>
                <w:szCs w:val="24"/>
              </w:rPr>
            </w:pPr>
          </w:p>
          <w:p w14:paraId="3EE21720" w14:textId="35A529CA" w:rsidR="00910F26" w:rsidRDefault="00910F26" w:rsidP="005B1556">
            <w:pPr>
              <w:shd w:val="clear" w:color="auto" w:fill="FFFFFF"/>
              <w:jc w:val="both"/>
              <w:rPr>
                <w:rFonts w:ascii="Arial" w:eastAsia="Calibri" w:hAnsi="Arial" w:cs="Arial"/>
                <w:bCs/>
                <w:szCs w:val="24"/>
              </w:rPr>
            </w:pPr>
            <w:r>
              <w:rPr>
                <w:rFonts w:ascii="Arial" w:eastAsia="Calibri" w:hAnsi="Arial" w:cs="Arial"/>
                <w:bCs/>
                <w:szCs w:val="24"/>
              </w:rPr>
              <w:t>Counselling is provided by</w:t>
            </w:r>
            <w:r w:rsidR="00407475">
              <w:rPr>
                <w:rFonts w:ascii="Arial" w:eastAsia="Calibri" w:hAnsi="Arial" w:cs="Arial"/>
                <w:bCs/>
                <w:szCs w:val="24"/>
              </w:rPr>
              <w:t xml:space="preserve"> independent counsellors either face to face or</w:t>
            </w:r>
            <w:r w:rsidR="001C15C2">
              <w:rPr>
                <w:rFonts w:ascii="Arial" w:eastAsia="Calibri" w:hAnsi="Arial" w:cs="Arial"/>
                <w:bCs/>
                <w:szCs w:val="24"/>
              </w:rPr>
              <w:t xml:space="preserve"> by phone and when necessary</w:t>
            </w:r>
            <w:r w:rsidR="004C52E1">
              <w:rPr>
                <w:rFonts w:ascii="Arial" w:eastAsia="Calibri" w:hAnsi="Arial" w:cs="Arial"/>
                <w:bCs/>
                <w:szCs w:val="24"/>
              </w:rPr>
              <w:t>,</w:t>
            </w:r>
            <w:r w:rsidR="001C15C2">
              <w:rPr>
                <w:rFonts w:ascii="Arial" w:eastAsia="Calibri" w:hAnsi="Arial" w:cs="Arial"/>
                <w:bCs/>
                <w:szCs w:val="24"/>
              </w:rPr>
              <w:t xml:space="preserve"> can be arranged at very short notice.</w:t>
            </w:r>
          </w:p>
        </w:tc>
      </w:tr>
      <w:tr w:rsidR="00CE6306" w:rsidRPr="00A90AA3" w14:paraId="6CE0DB1B" w14:textId="77777777" w:rsidTr="006D308B">
        <w:trPr>
          <w:gridAfter w:val="2"/>
          <w:wAfter w:w="283" w:type="dxa"/>
        </w:trPr>
        <w:tc>
          <w:tcPr>
            <w:tcW w:w="1134" w:type="dxa"/>
          </w:tcPr>
          <w:p w14:paraId="56E64604" w14:textId="77777777" w:rsidR="00130AC9" w:rsidRDefault="00130AC9" w:rsidP="00130AC9">
            <w:pPr>
              <w:pStyle w:val="NoSpacing"/>
            </w:pPr>
          </w:p>
          <w:p w14:paraId="0A3D796E" w14:textId="77777777" w:rsidR="00130AC9" w:rsidRDefault="00280A81" w:rsidP="00130AC9">
            <w:pPr>
              <w:pStyle w:val="NoSpacing"/>
            </w:pPr>
            <w:r>
              <w:t>4.</w:t>
            </w:r>
            <w:r w:rsidR="00C54DDE">
              <w:t>8</w:t>
            </w:r>
          </w:p>
          <w:p w14:paraId="7FD17142" w14:textId="77777777" w:rsidR="00C54DDE" w:rsidRDefault="00C54DDE" w:rsidP="00130AC9">
            <w:pPr>
              <w:pStyle w:val="NoSpacing"/>
            </w:pPr>
          </w:p>
          <w:p w14:paraId="206C89BF" w14:textId="73F3A181" w:rsidR="00130AC9" w:rsidRDefault="00C54DDE" w:rsidP="00130AC9">
            <w:pPr>
              <w:pStyle w:val="NoSpacing"/>
            </w:pPr>
            <w:r>
              <w:t>4.8.1</w:t>
            </w:r>
          </w:p>
        </w:tc>
        <w:tc>
          <w:tcPr>
            <w:tcW w:w="8857" w:type="dxa"/>
            <w:gridSpan w:val="2"/>
          </w:tcPr>
          <w:p w14:paraId="1549CA7B" w14:textId="77777777" w:rsidR="00130AC9" w:rsidRDefault="00130AC9" w:rsidP="005B1556">
            <w:pPr>
              <w:shd w:val="clear" w:color="auto" w:fill="FFFFFF"/>
              <w:jc w:val="both"/>
              <w:rPr>
                <w:rFonts w:ascii="Arial" w:eastAsia="Calibri" w:hAnsi="Arial" w:cs="Arial"/>
                <w:bCs/>
                <w:szCs w:val="24"/>
              </w:rPr>
            </w:pPr>
          </w:p>
          <w:p w14:paraId="0A5E14FF" w14:textId="77777777" w:rsidR="00130AC9" w:rsidRPr="00636707" w:rsidRDefault="00130AC9" w:rsidP="005B1556">
            <w:pPr>
              <w:shd w:val="clear" w:color="auto" w:fill="FFFFFF"/>
              <w:jc w:val="both"/>
              <w:rPr>
                <w:rFonts w:ascii="Arial" w:eastAsia="Calibri" w:hAnsi="Arial" w:cs="Arial"/>
                <w:bCs/>
                <w:szCs w:val="24"/>
                <w:u w:val="single"/>
              </w:rPr>
            </w:pPr>
            <w:r w:rsidRPr="00636707">
              <w:rPr>
                <w:rFonts w:ascii="Arial" w:eastAsia="Calibri" w:hAnsi="Arial" w:cs="Arial"/>
                <w:bCs/>
                <w:szCs w:val="24"/>
                <w:u w:val="single"/>
              </w:rPr>
              <w:t xml:space="preserve">Access to </w:t>
            </w:r>
            <w:r w:rsidR="00006130" w:rsidRPr="00636707">
              <w:rPr>
                <w:rFonts w:ascii="Arial" w:eastAsia="Calibri" w:hAnsi="Arial" w:cs="Arial"/>
                <w:bCs/>
                <w:szCs w:val="24"/>
                <w:u w:val="single"/>
              </w:rPr>
              <w:t>physiotherapy</w:t>
            </w:r>
          </w:p>
          <w:p w14:paraId="49592A82" w14:textId="77777777" w:rsidR="00C54DDE" w:rsidRDefault="00C54DDE" w:rsidP="005B1556">
            <w:pPr>
              <w:shd w:val="clear" w:color="auto" w:fill="FFFFFF"/>
              <w:jc w:val="both"/>
              <w:rPr>
                <w:rFonts w:ascii="Arial" w:eastAsia="Calibri" w:hAnsi="Arial" w:cs="Arial"/>
                <w:bCs/>
                <w:szCs w:val="24"/>
              </w:rPr>
            </w:pPr>
          </w:p>
          <w:p w14:paraId="7EED3395" w14:textId="6487D091" w:rsidR="00006130" w:rsidRDefault="00006130" w:rsidP="005B1556">
            <w:pPr>
              <w:shd w:val="clear" w:color="auto" w:fill="FFFFFF"/>
              <w:jc w:val="both"/>
              <w:rPr>
                <w:rFonts w:ascii="Arial" w:eastAsia="Calibri" w:hAnsi="Arial" w:cs="Arial"/>
                <w:bCs/>
                <w:szCs w:val="24"/>
              </w:rPr>
            </w:pPr>
            <w:r>
              <w:rPr>
                <w:rFonts w:ascii="Arial" w:eastAsia="Calibri" w:hAnsi="Arial" w:cs="Arial"/>
                <w:bCs/>
                <w:szCs w:val="24"/>
              </w:rPr>
              <w:t xml:space="preserve">Where an employee </w:t>
            </w:r>
            <w:r w:rsidR="00EC1A71">
              <w:rPr>
                <w:rFonts w:ascii="Arial" w:eastAsia="Calibri" w:hAnsi="Arial" w:cs="Arial"/>
                <w:bCs/>
                <w:szCs w:val="24"/>
              </w:rPr>
              <w:t xml:space="preserve">has a musculoskeletal disorder </w:t>
            </w:r>
            <w:r w:rsidR="00572930">
              <w:rPr>
                <w:rFonts w:ascii="Arial" w:eastAsia="Calibri" w:hAnsi="Arial" w:cs="Arial"/>
                <w:bCs/>
                <w:szCs w:val="24"/>
              </w:rPr>
              <w:t xml:space="preserve">which would benefit from early intervention to assist an employee remaining at work or returning to work earlier, and they are unable to access this through </w:t>
            </w:r>
            <w:r w:rsidR="00CC6263">
              <w:rPr>
                <w:rFonts w:ascii="Arial" w:eastAsia="Calibri" w:hAnsi="Arial" w:cs="Arial"/>
                <w:bCs/>
                <w:szCs w:val="24"/>
              </w:rPr>
              <w:t xml:space="preserve">their GP, HLH can refer employees to private therapy </w:t>
            </w:r>
            <w:proofErr w:type="gramStart"/>
            <w:r w:rsidR="00CC6263">
              <w:rPr>
                <w:rFonts w:ascii="Arial" w:eastAsia="Calibri" w:hAnsi="Arial" w:cs="Arial"/>
                <w:bCs/>
                <w:szCs w:val="24"/>
              </w:rPr>
              <w:t>where</w:t>
            </w:r>
            <w:proofErr w:type="gramEnd"/>
            <w:r w:rsidR="00CC6263">
              <w:rPr>
                <w:rFonts w:ascii="Arial" w:eastAsia="Calibri" w:hAnsi="Arial" w:cs="Arial"/>
                <w:bCs/>
                <w:szCs w:val="24"/>
              </w:rPr>
              <w:t xml:space="preserve"> </w:t>
            </w:r>
            <w:r w:rsidR="00636707">
              <w:rPr>
                <w:rFonts w:ascii="Arial" w:eastAsia="Calibri" w:hAnsi="Arial" w:cs="Arial"/>
                <w:bCs/>
                <w:szCs w:val="24"/>
              </w:rPr>
              <w:t>deemed appropriate.</w:t>
            </w:r>
          </w:p>
        </w:tc>
      </w:tr>
      <w:tr w:rsidR="00CE6306" w:rsidRPr="00A90AA3" w14:paraId="2DDEA45D" w14:textId="77777777" w:rsidTr="006D308B">
        <w:trPr>
          <w:gridAfter w:val="2"/>
          <w:wAfter w:w="283" w:type="dxa"/>
        </w:trPr>
        <w:tc>
          <w:tcPr>
            <w:tcW w:w="1134" w:type="dxa"/>
          </w:tcPr>
          <w:p w14:paraId="282927E2" w14:textId="77777777" w:rsidR="00A87EDC" w:rsidRDefault="00A87EDC" w:rsidP="00601F6D">
            <w:pPr>
              <w:pStyle w:val="NoSpacing"/>
              <w:ind w:left="720" w:hanging="683"/>
            </w:pPr>
          </w:p>
          <w:p w14:paraId="6C547381" w14:textId="7600AC74" w:rsidR="00A87EDC" w:rsidRDefault="004B78EB" w:rsidP="00601F6D">
            <w:pPr>
              <w:pStyle w:val="NoSpacing"/>
              <w:ind w:left="720" w:hanging="683"/>
            </w:pPr>
            <w:r>
              <w:t>4.</w:t>
            </w:r>
            <w:r w:rsidR="00E57643">
              <w:t>9</w:t>
            </w:r>
          </w:p>
          <w:p w14:paraId="71F33F1F" w14:textId="77777777" w:rsidR="00E57643" w:rsidRDefault="00E57643" w:rsidP="00601F6D">
            <w:pPr>
              <w:pStyle w:val="NoSpacing"/>
              <w:ind w:left="720" w:hanging="683"/>
            </w:pPr>
          </w:p>
          <w:p w14:paraId="1E6824D6" w14:textId="6768DDE1" w:rsidR="00E57643" w:rsidRDefault="00E57643" w:rsidP="00601F6D">
            <w:pPr>
              <w:pStyle w:val="NoSpacing"/>
              <w:ind w:left="720" w:hanging="683"/>
            </w:pPr>
            <w:r>
              <w:t>4.9.1</w:t>
            </w:r>
          </w:p>
          <w:p w14:paraId="75FDB15E" w14:textId="77777777" w:rsidR="00F73BA1" w:rsidRDefault="00F73BA1" w:rsidP="00601F6D">
            <w:pPr>
              <w:pStyle w:val="NoSpacing"/>
              <w:ind w:left="720" w:hanging="683"/>
            </w:pPr>
          </w:p>
          <w:p w14:paraId="331565FF" w14:textId="77777777" w:rsidR="00F73BA1" w:rsidRDefault="00F73BA1" w:rsidP="00601F6D">
            <w:pPr>
              <w:pStyle w:val="NoSpacing"/>
              <w:ind w:left="720" w:hanging="683"/>
            </w:pPr>
          </w:p>
          <w:p w14:paraId="50165D46" w14:textId="77777777" w:rsidR="00F73BA1" w:rsidRDefault="00F73BA1" w:rsidP="00601F6D">
            <w:pPr>
              <w:pStyle w:val="NoSpacing"/>
              <w:ind w:left="720" w:hanging="683"/>
            </w:pPr>
          </w:p>
          <w:p w14:paraId="2F7796F7" w14:textId="77777777" w:rsidR="00F73BA1" w:rsidRDefault="00F73BA1" w:rsidP="00601F6D">
            <w:pPr>
              <w:pStyle w:val="NoSpacing"/>
              <w:ind w:left="720" w:hanging="683"/>
            </w:pPr>
          </w:p>
          <w:p w14:paraId="1EC2C12D" w14:textId="77777777" w:rsidR="00F73BA1" w:rsidRDefault="00F73BA1" w:rsidP="00403B31">
            <w:pPr>
              <w:pStyle w:val="NoSpacing"/>
            </w:pPr>
          </w:p>
          <w:p w14:paraId="779FC64C" w14:textId="17887A18" w:rsidR="00F73BA1" w:rsidRDefault="00F73BA1" w:rsidP="00F73BA1">
            <w:pPr>
              <w:pStyle w:val="NoSpacing"/>
            </w:pPr>
            <w:r>
              <w:t>4.</w:t>
            </w:r>
            <w:r w:rsidR="00E57643">
              <w:t>9.2</w:t>
            </w:r>
          </w:p>
        </w:tc>
        <w:tc>
          <w:tcPr>
            <w:tcW w:w="8857" w:type="dxa"/>
            <w:gridSpan w:val="2"/>
          </w:tcPr>
          <w:p w14:paraId="05A28C04" w14:textId="77777777" w:rsidR="00A87EDC" w:rsidRDefault="00A87EDC" w:rsidP="005B1556">
            <w:pPr>
              <w:shd w:val="clear" w:color="auto" w:fill="FFFFFF"/>
              <w:jc w:val="both"/>
              <w:rPr>
                <w:rFonts w:ascii="Arial" w:eastAsia="Calibri" w:hAnsi="Arial" w:cs="Arial"/>
                <w:bCs/>
                <w:szCs w:val="24"/>
              </w:rPr>
            </w:pPr>
          </w:p>
          <w:p w14:paraId="3ECB84E6" w14:textId="6EDD915E" w:rsidR="00A87EDC" w:rsidRPr="003E6C16" w:rsidRDefault="00156AFE" w:rsidP="005B1556">
            <w:pPr>
              <w:shd w:val="clear" w:color="auto" w:fill="FFFFFF"/>
              <w:jc w:val="both"/>
              <w:rPr>
                <w:rFonts w:ascii="Arial" w:eastAsia="Calibri" w:hAnsi="Arial" w:cs="Arial"/>
                <w:bCs/>
                <w:szCs w:val="24"/>
                <w:u w:val="single"/>
              </w:rPr>
            </w:pPr>
            <w:r>
              <w:rPr>
                <w:rFonts w:ascii="Arial" w:eastAsia="Calibri" w:hAnsi="Arial" w:cs="Arial"/>
                <w:bCs/>
                <w:szCs w:val="24"/>
                <w:u w:val="single"/>
              </w:rPr>
              <w:t>‘</w:t>
            </w:r>
            <w:proofErr w:type="spellStart"/>
            <w:r w:rsidR="00A87EDC" w:rsidRPr="003E6C16">
              <w:rPr>
                <w:rFonts w:ascii="Arial" w:eastAsia="Calibri" w:hAnsi="Arial" w:cs="Arial"/>
                <w:bCs/>
                <w:szCs w:val="24"/>
                <w:u w:val="single"/>
              </w:rPr>
              <w:t>Togetherall</w:t>
            </w:r>
            <w:proofErr w:type="spellEnd"/>
            <w:r>
              <w:rPr>
                <w:rFonts w:ascii="Arial" w:eastAsia="Calibri" w:hAnsi="Arial" w:cs="Arial"/>
                <w:bCs/>
                <w:szCs w:val="24"/>
                <w:u w:val="single"/>
              </w:rPr>
              <w:t>’</w:t>
            </w:r>
          </w:p>
          <w:p w14:paraId="681D02E1" w14:textId="77777777" w:rsidR="00E57643" w:rsidRDefault="00E57643" w:rsidP="00E57643">
            <w:pPr>
              <w:jc w:val="both"/>
              <w:rPr>
                <w:rFonts w:ascii="Arial" w:hAnsi="Arial" w:cs="Arial"/>
              </w:rPr>
            </w:pPr>
          </w:p>
          <w:p w14:paraId="55449634" w14:textId="7CB044D4" w:rsidR="001C42E7" w:rsidRDefault="00FB2D1B" w:rsidP="00E57643">
            <w:pPr>
              <w:jc w:val="both"/>
              <w:rPr>
                <w:rFonts w:ascii="Arial" w:hAnsi="Arial" w:cs="Arial"/>
              </w:rPr>
            </w:pPr>
            <w:r w:rsidRPr="00217D2C">
              <w:rPr>
                <w:rFonts w:ascii="Arial" w:hAnsi="Arial" w:cs="Arial"/>
              </w:rPr>
              <w:t xml:space="preserve">HLH provides all </w:t>
            </w:r>
            <w:r w:rsidR="00CA244C" w:rsidRPr="00217D2C">
              <w:rPr>
                <w:rFonts w:ascii="Arial" w:hAnsi="Arial" w:cs="Arial"/>
              </w:rPr>
              <w:t xml:space="preserve">employees with free access to </w:t>
            </w:r>
            <w:proofErr w:type="spellStart"/>
            <w:r w:rsidRPr="00217D2C">
              <w:rPr>
                <w:rFonts w:ascii="Arial" w:hAnsi="Arial" w:cs="Arial"/>
              </w:rPr>
              <w:t>Togetherall</w:t>
            </w:r>
            <w:proofErr w:type="spellEnd"/>
            <w:r w:rsidR="00CA244C" w:rsidRPr="00217D2C">
              <w:rPr>
                <w:rFonts w:ascii="Arial" w:hAnsi="Arial" w:cs="Arial"/>
              </w:rPr>
              <w:t xml:space="preserve">. This website provides </w:t>
            </w:r>
            <w:r w:rsidRPr="00217D2C">
              <w:rPr>
                <w:rFonts w:ascii="Arial" w:hAnsi="Arial" w:cs="Arial"/>
              </w:rPr>
              <w:t>a safe</w:t>
            </w:r>
            <w:r w:rsidR="00CA244C" w:rsidRPr="00217D2C">
              <w:rPr>
                <w:rFonts w:ascii="Arial" w:hAnsi="Arial" w:cs="Arial"/>
              </w:rPr>
              <w:t xml:space="preserve"> </w:t>
            </w:r>
            <w:r w:rsidRPr="00217D2C">
              <w:rPr>
                <w:rFonts w:ascii="Arial" w:hAnsi="Arial" w:cs="Arial"/>
              </w:rPr>
              <w:t xml:space="preserve">online community where people can share feelings, emotions, and experiences in a confidential safe space with </w:t>
            </w:r>
            <w:r w:rsidR="007B5983" w:rsidRPr="00217D2C">
              <w:rPr>
                <w:rFonts w:ascii="Arial" w:hAnsi="Arial" w:cs="Arial"/>
              </w:rPr>
              <w:t>people</w:t>
            </w:r>
            <w:r w:rsidRPr="00217D2C">
              <w:rPr>
                <w:rFonts w:ascii="Arial" w:hAnsi="Arial" w:cs="Arial"/>
              </w:rPr>
              <w:t xml:space="preserve"> who understand what </w:t>
            </w:r>
            <w:r w:rsidR="007B5983" w:rsidRPr="00217D2C">
              <w:rPr>
                <w:rFonts w:ascii="Arial" w:hAnsi="Arial" w:cs="Arial"/>
              </w:rPr>
              <w:t>they may be going through</w:t>
            </w:r>
            <w:r w:rsidR="00CE4F61" w:rsidRPr="00217D2C">
              <w:rPr>
                <w:rFonts w:ascii="Arial" w:hAnsi="Arial" w:cs="Arial"/>
              </w:rPr>
              <w:t xml:space="preserve">. </w:t>
            </w:r>
            <w:proofErr w:type="spellStart"/>
            <w:r w:rsidR="00CE4F61" w:rsidRPr="00217D2C">
              <w:rPr>
                <w:rFonts w:ascii="Arial" w:hAnsi="Arial" w:cs="Arial"/>
              </w:rPr>
              <w:t>Togetherall</w:t>
            </w:r>
            <w:proofErr w:type="spellEnd"/>
            <w:r w:rsidR="00CE4F61" w:rsidRPr="00217D2C">
              <w:rPr>
                <w:rFonts w:ascii="Arial" w:hAnsi="Arial" w:cs="Arial"/>
              </w:rPr>
              <w:t xml:space="preserve"> is moderated by clinical professionals and is available </w:t>
            </w:r>
            <w:r w:rsidR="00217D2C" w:rsidRPr="00217D2C">
              <w:rPr>
                <w:rFonts w:ascii="Arial" w:hAnsi="Arial" w:cs="Arial"/>
              </w:rPr>
              <w:t>with 24/7 access.</w:t>
            </w:r>
          </w:p>
          <w:p w14:paraId="2F63398E" w14:textId="77777777" w:rsidR="001C42E7" w:rsidRDefault="001C42E7" w:rsidP="00E57643">
            <w:pPr>
              <w:jc w:val="both"/>
              <w:rPr>
                <w:rFonts w:ascii="Arial" w:hAnsi="Arial" w:cs="Arial"/>
              </w:rPr>
            </w:pPr>
          </w:p>
          <w:p w14:paraId="5677867E" w14:textId="31159CE7" w:rsidR="001C42E7" w:rsidRPr="00217D2C" w:rsidRDefault="001C42E7" w:rsidP="00E576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service is </w:t>
            </w:r>
            <w:r w:rsidR="004F6238">
              <w:rPr>
                <w:rFonts w:ascii="Arial" w:hAnsi="Arial" w:cs="Arial"/>
              </w:rPr>
              <w:t xml:space="preserve">managed and operated by the Head of Health of Health and Wellbeing and team. </w:t>
            </w:r>
          </w:p>
          <w:p w14:paraId="47875542" w14:textId="13D57F97" w:rsidR="00A87EDC" w:rsidRDefault="00A87EDC" w:rsidP="00FB2D1B">
            <w:pPr>
              <w:shd w:val="clear" w:color="auto" w:fill="FFFFFF"/>
              <w:jc w:val="both"/>
              <w:rPr>
                <w:rFonts w:ascii="Arial" w:eastAsia="Calibri" w:hAnsi="Arial" w:cs="Arial"/>
                <w:bCs/>
                <w:szCs w:val="24"/>
              </w:rPr>
            </w:pPr>
          </w:p>
        </w:tc>
      </w:tr>
      <w:tr w:rsidR="00CE6306" w:rsidRPr="00A90AA3" w14:paraId="168C77A1" w14:textId="77777777" w:rsidTr="006D308B">
        <w:trPr>
          <w:gridAfter w:val="2"/>
          <w:wAfter w:w="283" w:type="dxa"/>
        </w:trPr>
        <w:tc>
          <w:tcPr>
            <w:tcW w:w="1134" w:type="dxa"/>
          </w:tcPr>
          <w:p w14:paraId="715C0BCB" w14:textId="4B7339C9" w:rsidR="003E6C16" w:rsidRDefault="00F73BA1" w:rsidP="00601F6D">
            <w:pPr>
              <w:pStyle w:val="NoSpacing"/>
              <w:ind w:left="720" w:hanging="683"/>
            </w:pPr>
            <w:r>
              <w:t>4.</w:t>
            </w:r>
            <w:r w:rsidR="00E57643">
              <w:t>10</w:t>
            </w:r>
          </w:p>
          <w:p w14:paraId="705FF1B7" w14:textId="77777777" w:rsidR="00F73BA1" w:rsidRDefault="00F73BA1" w:rsidP="00601F6D">
            <w:pPr>
              <w:pStyle w:val="NoSpacing"/>
              <w:ind w:left="720" w:hanging="683"/>
            </w:pPr>
          </w:p>
          <w:p w14:paraId="00486314" w14:textId="77777777" w:rsidR="00F73BA1" w:rsidRDefault="00F73BA1" w:rsidP="00F73BA1">
            <w:pPr>
              <w:pStyle w:val="NoSpacing"/>
            </w:pPr>
            <w:r>
              <w:t>4.</w:t>
            </w:r>
            <w:r w:rsidR="007E671F">
              <w:t>10</w:t>
            </w:r>
            <w:r w:rsidR="002E7324">
              <w:t>.1</w:t>
            </w:r>
          </w:p>
          <w:p w14:paraId="3269D467" w14:textId="77777777" w:rsidR="002E7324" w:rsidRDefault="002E7324" w:rsidP="00F73BA1">
            <w:pPr>
              <w:pStyle w:val="NoSpacing"/>
            </w:pPr>
          </w:p>
          <w:p w14:paraId="51AB3F16" w14:textId="77777777" w:rsidR="0042433C" w:rsidRDefault="0042433C" w:rsidP="00F73BA1">
            <w:pPr>
              <w:pStyle w:val="NoSpacing"/>
            </w:pPr>
          </w:p>
          <w:p w14:paraId="7C5007C0" w14:textId="7FB4AF05" w:rsidR="00F73BA1" w:rsidRDefault="002E7324" w:rsidP="00F73BA1">
            <w:pPr>
              <w:pStyle w:val="NoSpacing"/>
            </w:pPr>
            <w:r>
              <w:t>4.10.2</w:t>
            </w:r>
          </w:p>
        </w:tc>
        <w:tc>
          <w:tcPr>
            <w:tcW w:w="8857" w:type="dxa"/>
            <w:gridSpan w:val="2"/>
          </w:tcPr>
          <w:p w14:paraId="507FC350" w14:textId="77777777" w:rsidR="003E6C16" w:rsidRPr="00130AC9" w:rsidRDefault="003E6C16" w:rsidP="005B1556">
            <w:pPr>
              <w:shd w:val="clear" w:color="auto" w:fill="FFFFFF"/>
              <w:jc w:val="both"/>
              <w:rPr>
                <w:rFonts w:ascii="Arial" w:eastAsia="Calibri" w:hAnsi="Arial" w:cs="Arial"/>
                <w:bCs/>
                <w:szCs w:val="24"/>
                <w:u w:val="single"/>
              </w:rPr>
            </w:pPr>
            <w:r w:rsidRPr="00130AC9">
              <w:rPr>
                <w:rFonts w:ascii="Arial" w:eastAsia="Calibri" w:hAnsi="Arial" w:cs="Arial"/>
                <w:bCs/>
                <w:szCs w:val="24"/>
                <w:u w:val="single"/>
              </w:rPr>
              <w:t>Mental Health Reps</w:t>
            </w:r>
          </w:p>
          <w:p w14:paraId="0C0EFAFB" w14:textId="77777777" w:rsidR="002E7324" w:rsidRDefault="002E7324" w:rsidP="002E7324">
            <w:pPr>
              <w:shd w:val="clear" w:color="auto" w:fill="FFFFFF"/>
              <w:jc w:val="both"/>
              <w:rPr>
                <w:rFonts w:ascii="Arial" w:eastAsia="Calibri" w:hAnsi="Arial" w:cs="Arial"/>
                <w:bCs/>
                <w:szCs w:val="24"/>
              </w:rPr>
            </w:pPr>
          </w:p>
          <w:p w14:paraId="47B9A62E" w14:textId="2D2F5650" w:rsidR="003E6C16" w:rsidRDefault="003E6C16" w:rsidP="005B1556">
            <w:pPr>
              <w:shd w:val="clear" w:color="auto" w:fill="FFFFFF"/>
              <w:jc w:val="both"/>
              <w:rPr>
                <w:rFonts w:ascii="Arial" w:eastAsia="Calibri" w:hAnsi="Arial" w:cs="Arial"/>
                <w:bCs/>
                <w:szCs w:val="24"/>
              </w:rPr>
            </w:pPr>
            <w:r>
              <w:rPr>
                <w:rFonts w:ascii="Arial" w:eastAsia="Calibri" w:hAnsi="Arial" w:cs="Arial"/>
                <w:bCs/>
                <w:szCs w:val="24"/>
              </w:rPr>
              <w:t xml:space="preserve">HLH has </w:t>
            </w:r>
            <w:r w:rsidR="00AC7C00">
              <w:rPr>
                <w:rFonts w:ascii="Arial" w:eastAsia="Calibri" w:hAnsi="Arial" w:cs="Arial"/>
                <w:bCs/>
                <w:szCs w:val="24"/>
              </w:rPr>
              <w:t xml:space="preserve">a number of </w:t>
            </w:r>
            <w:r w:rsidR="000B389E">
              <w:rPr>
                <w:rFonts w:ascii="Arial" w:eastAsia="Calibri" w:hAnsi="Arial" w:cs="Arial"/>
                <w:bCs/>
                <w:szCs w:val="24"/>
              </w:rPr>
              <w:t xml:space="preserve">volunteer employee </w:t>
            </w:r>
            <w:r w:rsidR="00AC7C00">
              <w:rPr>
                <w:rFonts w:ascii="Arial" w:eastAsia="Calibri" w:hAnsi="Arial" w:cs="Arial"/>
                <w:bCs/>
                <w:szCs w:val="24"/>
              </w:rPr>
              <w:t xml:space="preserve">Mental Health Reps, trained to provide support and signposting to colleagues.  </w:t>
            </w:r>
          </w:p>
          <w:p w14:paraId="22162DDC" w14:textId="77777777" w:rsidR="006B3DE6" w:rsidRDefault="006B3DE6" w:rsidP="005B1556">
            <w:pPr>
              <w:shd w:val="clear" w:color="auto" w:fill="FFFFFF"/>
              <w:jc w:val="both"/>
              <w:rPr>
                <w:rFonts w:ascii="Arial" w:eastAsia="Calibri" w:hAnsi="Arial" w:cs="Arial"/>
                <w:bCs/>
                <w:szCs w:val="24"/>
              </w:rPr>
            </w:pPr>
          </w:p>
          <w:p w14:paraId="794010DD" w14:textId="5CE82EBF" w:rsidR="006B3DE6" w:rsidRPr="00217D2C" w:rsidRDefault="006B3DE6" w:rsidP="002E73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service is managed and operated by the Head of Health and Wellbeing and team. </w:t>
            </w:r>
          </w:p>
          <w:p w14:paraId="25465736" w14:textId="13D40467" w:rsidR="003E6C16" w:rsidRDefault="003E6C16" w:rsidP="005B1556">
            <w:pPr>
              <w:shd w:val="clear" w:color="auto" w:fill="FFFFFF"/>
              <w:jc w:val="both"/>
              <w:rPr>
                <w:rFonts w:ascii="Arial" w:eastAsia="Calibri" w:hAnsi="Arial" w:cs="Arial"/>
                <w:bCs/>
                <w:szCs w:val="24"/>
              </w:rPr>
            </w:pPr>
          </w:p>
        </w:tc>
      </w:tr>
      <w:tr w:rsidR="005B0B11" w:rsidRPr="00A90AA3" w14:paraId="0B1B0E34" w14:textId="77777777" w:rsidTr="006D308B">
        <w:trPr>
          <w:gridAfter w:val="2"/>
          <w:wAfter w:w="283" w:type="dxa"/>
        </w:trPr>
        <w:tc>
          <w:tcPr>
            <w:tcW w:w="1134" w:type="dxa"/>
          </w:tcPr>
          <w:p w14:paraId="20C06138" w14:textId="7671699E" w:rsidR="005B0B11" w:rsidRDefault="00D37B2F" w:rsidP="00601F6D">
            <w:pPr>
              <w:pStyle w:val="NoSpacing"/>
              <w:ind w:left="720" w:hanging="683"/>
            </w:pPr>
            <w:r>
              <w:t>4.11</w:t>
            </w:r>
          </w:p>
          <w:p w14:paraId="150BCDDB" w14:textId="2B949880" w:rsidR="09C039D6" w:rsidRDefault="09C039D6" w:rsidP="09C039D6">
            <w:pPr>
              <w:pStyle w:val="NoSpacing"/>
              <w:ind w:left="720" w:hanging="683"/>
            </w:pPr>
          </w:p>
          <w:p w14:paraId="07FEAAE6" w14:textId="5B778D4B" w:rsidR="007E672B" w:rsidRDefault="007E672B" w:rsidP="09C039D6">
            <w:pPr>
              <w:pStyle w:val="NoSpacing"/>
              <w:ind w:left="720" w:hanging="683"/>
            </w:pPr>
            <w:r>
              <w:t>4.11.1</w:t>
            </w:r>
          </w:p>
          <w:p w14:paraId="69239AB0" w14:textId="27FC9A83" w:rsidR="005B0B11" w:rsidRDefault="005B0B11" w:rsidP="00601F6D">
            <w:pPr>
              <w:pStyle w:val="NoSpacing"/>
              <w:ind w:left="720" w:hanging="683"/>
            </w:pPr>
          </w:p>
        </w:tc>
        <w:tc>
          <w:tcPr>
            <w:tcW w:w="8857" w:type="dxa"/>
            <w:gridSpan w:val="2"/>
          </w:tcPr>
          <w:p w14:paraId="4AE53073" w14:textId="77777777" w:rsidR="005B0B11" w:rsidRDefault="00D37B2F" w:rsidP="005B1556">
            <w:pPr>
              <w:shd w:val="clear" w:color="auto" w:fill="FFFFFF"/>
              <w:jc w:val="both"/>
              <w:rPr>
                <w:rFonts w:ascii="Arial" w:eastAsia="Calibri" w:hAnsi="Arial" w:cs="Arial"/>
                <w:bCs/>
                <w:szCs w:val="24"/>
              </w:rPr>
            </w:pPr>
            <w:r>
              <w:rPr>
                <w:rFonts w:ascii="Arial" w:eastAsia="Calibri" w:hAnsi="Arial" w:cs="Arial"/>
                <w:bCs/>
                <w:szCs w:val="24"/>
                <w:u w:val="single"/>
              </w:rPr>
              <w:t>Attendance management RAG Rating</w:t>
            </w:r>
          </w:p>
          <w:p w14:paraId="3E5F1266" w14:textId="77777777" w:rsidR="00D37B2F" w:rsidRDefault="00D37B2F" w:rsidP="005B1556">
            <w:pPr>
              <w:shd w:val="clear" w:color="auto" w:fill="FFFFFF"/>
              <w:jc w:val="both"/>
              <w:rPr>
                <w:rFonts w:ascii="Arial" w:eastAsia="Calibri" w:hAnsi="Arial" w:cs="Arial"/>
                <w:bCs/>
                <w:szCs w:val="24"/>
              </w:rPr>
            </w:pPr>
          </w:p>
          <w:p w14:paraId="03C39625" w14:textId="3311956B" w:rsidR="00D37B2F" w:rsidRDefault="005D5B17" w:rsidP="005B1556">
            <w:pPr>
              <w:shd w:val="clear" w:color="auto" w:fill="FFFFFF"/>
              <w:jc w:val="both"/>
              <w:rPr>
                <w:rFonts w:ascii="Arial" w:eastAsia="Calibri" w:hAnsi="Arial" w:cs="Arial"/>
                <w:bCs/>
                <w:szCs w:val="24"/>
              </w:rPr>
            </w:pPr>
            <w:r>
              <w:rPr>
                <w:rFonts w:ascii="Arial" w:eastAsia="Calibri" w:hAnsi="Arial" w:cs="Arial"/>
                <w:bCs/>
                <w:szCs w:val="24"/>
              </w:rPr>
              <w:t xml:space="preserve">At a previous board, there was discussion around the RAG rating applied to attendance figures highlighted in section </w:t>
            </w:r>
            <w:r w:rsidR="00AF59C0">
              <w:rPr>
                <w:rFonts w:ascii="Arial" w:eastAsia="Calibri" w:hAnsi="Arial" w:cs="Arial"/>
                <w:bCs/>
                <w:szCs w:val="24"/>
              </w:rPr>
              <w:t xml:space="preserve">3.3. The current ratings are set against the ONS </w:t>
            </w:r>
            <w:r w:rsidR="00E50590">
              <w:rPr>
                <w:rFonts w:ascii="Arial" w:eastAsia="Calibri" w:hAnsi="Arial" w:cs="Arial"/>
                <w:bCs/>
                <w:szCs w:val="24"/>
              </w:rPr>
              <w:t>figures and</w:t>
            </w:r>
            <w:r w:rsidR="00C85FB9">
              <w:rPr>
                <w:rFonts w:ascii="Arial" w:eastAsia="Calibri" w:hAnsi="Arial" w:cs="Arial"/>
                <w:bCs/>
                <w:szCs w:val="24"/>
              </w:rPr>
              <w:t xml:space="preserve"> have been set at this comparative rate </w:t>
            </w:r>
            <w:r w:rsidR="00E50590">
              <w:rPr>
                <w:rFonts w:ascii="Arial" w:eastAsia="Calibri" w:hAnsi="Arial" w:cs="Arial"/>
                <w:bCs/>
                <w:szCs w:val="24"/>
              </w:rPr>
              <w:t>for around three years. (It was felt the ONS figures were the most consistent and reliable from which to undertake comparisons.)</w:t>
            </w:r>
            <w:r w:rsidR="00C85FB9">
              <w:rPr>
                <w:rFonts w:ascii="Arial" w:eastAsia="Calibri" w:hAnsi="Arial" w:cs="Arial"/>
                <w:bCs/>
                <w:szCs w:val="24"/>
              </w:rPr>
              <w:t xml:space="preserve"> </w:t>
            </w:r>
          </w:p>
          <w:p w14:paraId="7BCABCC1" w14:textId="77777777" w:rsidR="00FA65C8" w:rsidRDefault="00FA65C8" w:rsidP="005B1556">
            <w:pPr>
              <w:shd w:val="clear" w:color="auto" w:fill="FFFFFF"/>
              <w:jc w:val="both"/>
              <w:rPr>
                <w:rFonts w:ascii="Arial" w:eastAsia="Calibri" w:hAnsi="Arial" w:cs="Arial"/>
                <w:bCs/>
                <w:szCs w:val="24"/>
              </w:rPr>
            </w:pPr>
          </w:p>
          <w:p w14:paraId="52F9A855" w14:textId="16810187" w:rsidR="00FA65C8" w:rsidRDefault="00E95909" w:rsidP="005B1556">
            <w:pPr>
              <w:shd w:val="clear" w:color="auto" w:fill="FFFFFF"/>
              <w:jc w:val="both"/>
              <w:rPr>
                <w:rFonts w:ascii="Arial" w:eastAsia="Calibri" w:hAnsi="Arial" w:cs="Arial"/>
                <w:bCs/>
                <w:szCs w:val="24"/>
              </w:rPr>
            </w:pPr>
            <w:r>
              <w:rPr>
                <w:rFonts w:ascii="Arial" w:eastAsia="Calibri" w:hAnsi="Arial" w:cs="Arial"/>
                <w:bCs/>
                <w:szCs w:val="24"/>
              </w:rPr>
              <w:lastRenderedPageBreak/>
              <w:t xml:space="preserve">In considering the </w:t>
            </w:r>
            <w:r w:rsidR="00A632E9">
              <w:rPr>
                <w:rFonts w:ascii="Arial" w:eastAsia="Calibri" w:hAnsi="Arial" w:cs="Arial"/>
                <w:bCs/>
                <w:szCs w:val="24"/>
              </w:rPr>
              <w:t xml:space="preserve">information presented to the board in section </w:t>
            </w:r>
            <w:r w:rsidR="00602EC2">
              <w:rPr>
                <w:rFonts w:ascii="Arial" w:eastAsia="Calibri" w:hAnsi="Arial" w:cs="Arial"/>
                <w:bCs/>
                <w:szCs w:val="24"/>
              </w:rPr>
              <w:t>4.4</w:t>
            </w:r>
            <w:r w:rsidR="00BE533E">
              <w:rPr>
                <w:rFonts w:ascii="Arial" w:eastAsia="Calibri" w:hAnsi="Arial" w:cs="Arial"/>
                <w:bCs/>
                <w:szCs w:val="24"/>
              </w:rPr>
              <w:t xml:space="preserve">, further discussions will take place with Senior Management colleagues regarding whether </w:t>
            </w:r>
            <w:r w:rsidR="0062716E">
              <w:rPr>
                <w:rFonts w:ascii="Arial" w:eastAsia="Calibri" w:hAnsi="Arial" w:cs="Arial"/>
                <w:bCs/>
                <w:szCs w:val="24"/>
              </w:rPr>
              <w:t xml:space="preserve">the ONS figures remain the most appropriate </w:t>
            </w:r>
            <w:r w:rsidR="000D0ED5">
              <w:rPr>
                <w:rFonts w:ascii="Arial" w:eastAsia="Calibri" w:hAnsi="Arial" w:cs="Arial"/>
                <w:bCs/>
                <w:szCs w:val="24"/>
              </w:rPr>
              <w:t>benchmark</w:t>
            </w:r>
            <w:r w:rsidR="00054524">
              <w:rPr>
                <w:rFonts w:ascii="Arial" w:eastAsia="Calibri" w:hAnsi="Arial" w:cs="Arial"/>
                <w:bCs/>
                <w:szCs w:val="24"/>
              </w:rPr>
              <w:t>.</w:t>
            </w:r>
            <w:r w:rsidR="005666E6">
              <w:rPr>
                <w:rFonts w:ascii="Arial" w:eastAsia="Calibri" w:hAnsi="Arial" w:cs="Arial"/>
                <w:bCs/>
                <w:szCs w:val="24"/>
              </w:rPr>
              <w:t xml:space="preserve"> </w:t>
            </w:r>
            <w:r w:rsidR="002C745F">
              <w:rPr>
                <w:rFonts w:ascii="Arial" w:eastAsia="Calibri" w:hAnsi="Arial" w:cs="Arial"/>
                <w:bCs/>
                <w:szCs w:val="24"/>
              </w:rPr>
              <w:t xml:space="preserve">If change is </w:t>
            </w:r>
            <w:proofErr w:type="gramStart"/>
            <w:r w:rsidR="002C745F">
              <w:rPr>
                <w:rFonts w:ascii="Arial" w:eastAsia="Calibri" w:hAnsi="Arial" w:cs="Arial"/>
                <w:bCs/>
                <w:szCs w:val="24"/>
              </w:rPr>
              <w:t>recommended</w:t>
            </w:r>
            <w:proofErr w:type="gramEnd"/>
            <w:r w:rsidR="0063205F">
              <w:rPr>
                <w:rFonts w:ascii="Arial" w:eastAsia="Calibri" w:hAnsi="Arial" w:cs="Arial"/>
                <w:bCs/>
                <w:szCs w:val="24"/>
              </w:rPr>
              <w:t xml:space="preserve"> </w:t>
            </w:r>
            <w:r w:rsidR="001A5C7B">
              <w:rPr>
                <w:rFonts w:ascii="Arial" w:eastAsia="Calibri" w:hAnsi="Arial" w:cs="Arial"/>
                <w:bCs/>
                <w:szCs w:val="24"/>
              </w:rPr>
              <w:t>then these alterations will be reflected in future</w:t>
            </w:r>
            <w:r w:rsidR="00F26E1E">
              <w:rPr>
                <w:rFonts w:ascii="Arial" w:eastAsia="Calibri" w:hAnsi="Arial" w:cs="Arial"/>
                <w:bCs/>
                <w:szCs w:val="24"/>
              </w:rPr>
              <w:t xml:space="preserve"> HR reports to the Board. </w:t>
            </w:r>
            <w:r w:rsidR="00054524">
              <w:rPr>
                <w:rFonts w:ascii="Arial" w:eastAsia="Calibri" w:hAnsi="Arial" w:cs="Arial"/>
                <w:bCs/>
                <w:szCs w:val="24"/>
              </w:rPr>
              <w:t xml:space="preserve"> </w:t>
            </w:r>
          </w:p>
          <w:p w14:paraId="15F24A5A" w14:textId="3E4BFA06" w:rsidR="005D5B17" w:rsidRPr="00D37B2F" w:rsidRDefault="005D5B17" w:rsidP="005B1556">
            <w:pPr>
              <w:shd w:val="clear" w:color="auto" w:fill="FFFFFF"/>
              <w:jc w:val="both"/>
              <w:rPr>
                <w:rFonts w:ascii="Arial" w:eastAsia="Calibri" w:hAnsi="Arial" w:cs="Arial"/>
                <w:bCs/>
                <w:szCs w:val="24"/>
              </w:rPr>
            </w:pPr>
          </w:p>
        </w:tc>
      </w:tr>
      <w:tr w:rsidR="00CE6306" w:rsidRPr="00A90AA3" w14:paraId="08A959E0" w14:textId="77777777" w:rsidTr="006D308B">
        <w:trPr>
          <w:gridAfter w:val="2"/>
          <w:wAfter w:w="283" w:type="dxa"/>
          <w:trHeight w:val="387"/>
        </w:trPr>
        <w:tc>
          <w:tcPr>
            <w:tcW w:w="1134" w:type="dxa"/>
          </w:tcPr>
          <w:p w14:paraId="3AE6CC53" w14:textId="349E3BBE" w:rsidR="00601F6D" w:rsidRPr="001750EF" w:rsidRDefault="006B3920" w:rsidP="00601F6D">
            <w:pPr>
              <w:pStyle w:val="NoSpacing"/>
              <w:ind w:left="720" w:hanging="68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  <w:r w:rsidR="00601F6D" w:rsidRPr="00D43B41">
              <w:rPr>
                <w:b/>
                <w:bCs/>
              </w:rPr>
              <w:t>.</w:t>
            </w:r>
          </w:p>
        </w:tc>
        <w:tc>
          <w:tcPr>
            <w:tcW w:w="8857" w:type="dxa"/>
            <w:gridSpan w:val="2"/>
          </w:tcPr>
          <w:p w14:paraId="58B8D1B1" w14:textId="491600E7" w:rsidR="00601F6D" w:rsidRDefault="00601F6D" w:rsidP="00601F6D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Redesign – staffing impact</w:t>
            </w:r>
          </w:p>
          <w:p w14:paraId="43394F70" w14:textId="5EC8CEF7" w:rsidR="00601F6D" w:rsidRPr="001750EF" w:rsidRDefault="00601F6D" w:rsidP="00601F6D">
            <w:pPr>
              <w:pStyle w:val="Default"/>
              <w:rPr>
                <w:b/>
                <w:bCs/>
              </w:rPr>
            </w:pPr>
            <w:r w:rsidRPr="003C7969">
              <w:t> </w:t>
            </w:r>
          </w:p>
        </w:tc>
      </w:tr>
      <w:tr w:rsidR="00CE6306" w:rsidRPr="00A90AA3" w14:paraId="4B7C5505" w14:textId="77777777" w:rsidTr="006D308B">
        <w:trPr>
          <w:gridAfter w:val="2"/>
          <w:wAfter w:w="283" w:type="dxa"/>
          <w:trHeight w:val="387"/>
        </w:trPr>
        <w:tc>
          <w:tcPr>
            <w:tcW w:w="1134" w:type="dxa"/>
          </w:tcPr>
          <w:p w14:paraId="23ADC161" w14:textId="3566A923" w:rsidR="00601F6D" w:rsidRPr="00095132" w:rsidRDefault="006B3920" w:rsidP="00601F6D">
            <w:pPr>
              <w:pStyle w:val="NoSpacing"/>
              <w:ind w:left="720" w:hanging="683"/>
            </w:pPr>
            <w:r>
              <w:t>5</w:t>
            </w:r>
            <w:r w:rsidR="00601F6D" w:rsidRPr="00095132">
              <w:t>.1</w:t>
            </w:r>
          </w:p>
        </w:tc>
        <w:tc>
          <w:tcPr>
            <w:tcW w:w="8857" w:type="dxa"/>
            <w:gridSpan w:val="2"/>
          </w:tcPr>
          <w:p w14:paraId="56C8033B" w14:textId="77777777" w:rsidR="00601F6D" w:rsidRDefault="00371C72" w:rsidP="003C5CA1">
            <w:pPr>
              <w:pStyle w:val="Default"/>
              <w:jc w:val="both"/>
            </w:pPr>
            <w:r>
              <w:t xml:space="preserve">The Board will be aware that </w:t>
            </w:r>
            <w:r w:rsidR="00C90DED">
              <w:t xml:space="preserve">for financial business reasons, </w:t>
            </w:r>
            <w:r w:rsidR="00D95061">
              <w:t xml:space="preserve">discussions around a </w:t>
            </w:r>
            <w:r w:rsidR="00411BF0">
              <w:t xml:space="preserve">new </w:t>
            </w:r>
            <w:r w:rsidR="008F2739">
              <w:t>service level agreement</w:t>
            </w:r>
            <w:r w:rsidR="00D36331">
              <w:t xml:space="preserve"> between HLH and HRFC</w:t>
            </w:r>
            <w:r w:rsidR="00CB0594">
              <w:t xml:space="preserve"> for service provision at Canal Park</w:t>
            </w:r>
            <w:r w:rsidR="001176A2">
              <w:t>, Inverness</w:t>
            </w:r>
            <w:r w:rsidR="00D36331">
              <w:t xml:space="preserve"> were </w:t>
            </w:r>
            <w:r w:rsidR="000C3524">
              <w:t>entered</w:t>
            </w:r>
            <w:r w:rsidR="00D36331">
              <w:t>.</w:t>
            </w:r>
            <w:r w:rsidR="001E04BF">
              <w:t xml:space="preserve"> </w:t>
            </w:r>
            <w:r w:rsidR="000C6C6A">
              <w:t xml:space="preserve">At the board meeting on </w:t>
            </w:r>
            <w:r w:rsidR="00174719">
              <w:t>13 June 2023</w:t>
            </w:r>
            <w:r w:rsidR="004B1A2A">
              <w:t xml:space="preserve">, in principle agreement was given </w:t>
            </w:r>
            <w:r w:rsidR="00861929">
              <w:t>to placing three</w:t>
            </w:r>
            <w:r w:rsidR="001E04BF">
              <w:t xml:space="preserve"> staff </w:t>
            </w:r>
            <w:r w:rsidR="00312560">
              <w:t>into an ‘at risk’ status</w:t>
            </w:r>
            <w:r w:rsidR="001B6F4C">
              <w:t xml:space="preserve"> and as a result </w:t>
            </w:r>
            <w:r w:rsidR="00601F6D">
              <w:t xml:space="preserve">HR </w:t>
            </w:r>
            <w:r w:rsidR="00211351">
              <w:t>is</w:t>
            </w:r>
            <w:r w:rsidR="00601F6D">
              <w:t xml:space="preserve"> working with</w:t>
            </w:r>
            <w:r w:rsidR="00AE68FA">
              <w:t xml:space="preserve"> </w:t>
            </w:r>
            <w:r w:rsidR="00601F6D">
              <w:t>affected staff to try to find suitable redeployment opportunities within HLH</w:t>
            </w:r>
            <w:r w:rsidR="001176A2">
              <w:t xml:space="preserve"> as per the charity’s phased</w:t>
            </w:r>
            <w:r w:rsidR="002B4C07">
              <w:t xml:space="preserve"> process in terms of cessation of a service</w:t>
            </w:r>
            <w:r w:rsidR="00377084">
              <w:t xml:space="preserve"> outlined to the Board at its last meeting</w:t>
            </w:r>
            <w:r w:rsidR="00601F6D">
              <w:t>.</w:t>
            </w:r>
          </w:p>
          <w:p w14:paraId="5BE06B2C" w14:textId="7E2B1B6C" w:rsidR="00CE04C1" w:rsidRPr="001750EF" w:rsidRDefault="00CE04C1" w:rsidP="003C5CA1">
            <w:pPr>
              <w:pStyle w:val="Default"/>
              <w:jc w:val="both"/>
            </w:pPr>
          </w:p>
        </w:tc>
      </w:tr>
      <w:tr w:rsidR="00CE6306" w:rsidRPr="00A90AA3" w14:paraId="51DFA8DE" w14:textId="77777777" w:rsidTr="006D308B">
        <w:trPr>
          <w:gridAfter w:val="2"/>
          <w:wAfter w:w="283" w:type="dxa"/>
          <w:trHeight w:val="387"/>
        </w:trPr>
        <w:tc>
          <w:tcPr>
            <w:tcW w:w="1134" w:type="dxa"/>
          </w:tcPr>
          <w:p w14:paraId="295A3327" w14:textId="3E7377A3" w:rsidR="00601F6D" w:rsidRPr="00095132" w:rsidRDefault="006B3920" w:rsidP="00601F6D">
            <w:pPr>
              <w:pStyle w:val="NoSpacing"/>
              <w:ind w:left="720" w:hanging="683"/>
            </w:pPr>
            <w:r>
              <w:t>5</w:t>
            </w:r>
            <w:r w:rsidR="00601F6D" w:rsidRPr="00095132">
              <w:t>.2</w:t>
            </w:r>
          </w:p>
        </w:tc>
        <w:tc>
          <w:tcPr>
            <w:tcW w:w="8857" w:type="dxa"/>
            <w:gridSpan w:val="2"/>
          </w:tcPr>
          <w:p w14:paraId="7A1AC465" w14:textId="07230EF3" w:rsidR="00601F6D" w:rsidRDefault="00601F6D" w:rsidP="003C5CA1">
            <w:pPr>
              <w:pStyle w:val="Default"/>
              <w:jc w:val="both"/>
            </w:pPr>
            <w:r>
              <w:t xml:space="preserve">In addition, liaising with The Highland Council’s (THC) HR department, suitable redeployment opportunities within THC </w:t>
            </w:r>
            <w:r w:rsidR="00CB4CF0">
              <w:t>will</w:t>
            </w:r>
            <w:r>
              <w:t xml:space="preserve"> also been made available to affected employees. </w:t>
            </w:r>
          </w:p>
          <w:p w14:paraId="04692C93" w14:textId="5503492A" w:rsidR="00601F6D" w:rsidRPr="00095132" w:rsidRDefault="00601F6D" w:rsidP="003C5CA1">
            <w:pPr>
              <w:pStyle w:val="Default"/>
              <w:jc w:val="both"/>
            </w:pPr>
          </w:p>
        </w:tc>
      </w:tr>
      <w:tr w:rsidR="00CE6306" w:rsidRPr="00A90AA3" w14:paraId="1257ACF4" w14:textId="77777777" w:rsidTr="006D308B">
        <w:trPr>
          <w:gridAfter w:val="2"/>
          <w:wAfter w:w="283" w:type="dxa"/>
          <w:trHeight w:val="738"/>
        </w:trPr>
        <w:tc>
          <w:tcPr>
            <w:tcW w:w="1134" w:type="dxa"/>
          </w:tcPr>
          <w:p w14:paraId="4885E9E3" w14:textId="77777777" w:rsidR="00601F6D" w:rsidRDefault="006B3920" w:rsidP="00601F6D">
            <w:pPr>
              <w:pStyle w:val="NoSpacing"/>
              <w:ind w:left="720" w:hanging="683"/>
            </w:pPr>
            <w:r>
              <w:t>5</w:t>
            </w:r>
            <w:r w:rsidR="00601F6D">
              <w:t>.</w:t>
            </w:r>
            <w:r w:rsidR="00033EB7">
              <w:t>3</w:t>
            </w:r>
          </w:p>
          <w:p w14:paraId="0C069A5B" w14:textId="26C55E58" w:rsidR="00601F6D" w:rsidRPr="00095132" w:rsidRDefault="00601F6D" w:rsidP="008D5E39">
            <w:pPr>
              <w:pStyle w:val="NoSpacing"/>
            </w:pPr>
          </w:p>
        </w:tc>
        <w:tc>
          <w:tcPr>
            <w:tcW w:w="8857" w:type="dxa"/>
            <w:gridSpan w:val="2"/>
          </w:tcPr>
          <w:p w14:paraId="552F68C2" w14:textId="2624B2B3" w:rsidR="001A4F74" w:rsidRDefault="001A4F74" w:rsidP="008B1ED1">
            <w:pPr>
              <w:pStyle w:val="Default"/>
              <w:jc w:val="both"/>
            </w:pPr>
            <w:r>
              <w:t xml:space="preserve">The </w:t>
            </w:r>
            <w:r w:rsidR="00992D40">
              <w:t>p</w:t>
            </w:r>
            <w:r w:rsidR="00324E7C">
              <w:t xml:space="preserve">rocess for </w:t>
            </w:r>
            <w:r>
              <w:t>Cessation of S</w:t>
            </w:r>
            <w:r w:rsidR="009201D8">
              <w:t xml:space="preserve">ervice pro-forma is attached at </w:t>
            </w:r>
            <w:r w:rsidR="009201D8" w:rsidRPr="00324E7C">
              <w:rPr>
                <w:b/>
                <w:bCs/>
              </w:rPr>
              <w:t>Appendix C</w:t>
            </w:r>
            <w:r w:rsidR="00324E7C">
              <w:t>,</w:t>
            </w:r>
            <w:r w:rsidR="009201D8">
              <w:t xml:space="preserve"> for information</w:t>
            </w:r>
            <w:r w:rsidR="00992D40">
              <w:t>.</w:t>
            </w:r>
          </w:p>
          <w:p w14:paraId="745C41DD" w14:textId="16EA8FAE" w:rsidR="002234DF" w:rsidRPr="00095132" w:rsidRDefault="002234DF" w:rsidP="00601F6D">
            <w:pPr>
              <w:pStyle w:val="Default"/>
            </w:pPr>
          </w:p>
        </w:tc>
      </w:tr>
      <w:tr w:rsidR="00CE6306" w:rsidRPr="00A90AA3" w14:paraId="75D0CDBD" w14:textId="77777777" w:rsidTr="006D308B">
        <w:trPr>
          <w:gridAfter w:val="2"/>
          <w:wAfter w:w="283" w:type="dxa"/>
          <w:trHeight w:val="387"/>
        </w:trPr>
        <w:tc>
          <w:tcPr>
            <w:tcW w:w="1134" w:type="dxa"/>
          </w:tcPr>
          <w:p w14:paraId="54BD2C04" w14:textId="54C888B9" w:rsidR="00523ACC" w:rsidRPr="000140DA" w:rsidRDefault="00566883" w:rsidP="00601F6D">
            <w:pPr>
              <w:pStyle w:val="NoSpacing"/>
              <w:ind w:left="720" w:hanging="683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523ACC" w:rsidRPr="000140DA">
              <w:rPr>
                <w:b/>
                <w:bCs/>
              </w:rPr>
              <w:t>.</w:t>
            </w:r>
          </w:p>
        </w:tc>
        <w:tc>
          <w:tcPr>
            <w:tcW w:w="8857" w:type="dxa"/>
            <w:gridSpan w:val="2"/>
          </w:tcPr>
          <w:p w14:paraId="29CB65A5" w14:textId="77777777" w:rsidR="00523ACC" w:rsidRPr="000140DA" w:rsidRDefault="007304E7" w:rsidP="008B1ED1">
            <w:pPr>
              <w:pStyle w:val="Default"/>
              <w:jc w:val="both"/>
              <w:rPr>
                <w:b/>
                <w:bCs/>
              </w:rPr>
            </w:pPr>
            <w:r w:rsidRPr="000140DA">
              <w:rPr>
                <w:b/>
                <w:bCs/>
              </w:rPr>
              <w:t>Employment of Under 16s</w:t>
            </w:r>
          </w:p>
          <w:p w14:paraId="784E7AFA" w14:textId="04BEE106" w:rsidR="007304E7" w:rsidRPr="000140DA" w:rsidRDefault="007304E7" w:rsidP="008B1ED1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CE6306" w:rsidRPr="00A90AA3" w14:paraId="0834280D" w14:textId="77777777" w:rsidTr="006D308B">
        <w:trPr>
          <w:gridAfter w:val="2"/>
          <w:wAfter w:w="283" w:type="dxa"/>
          <w:trHeight w:val="387"/>
        </w:trPr>
        <w:tc>
          <w:tcPr>
            <w:tcW w:w="1134" w:type="dxa"/>
          </w:tcPr>
          <w:p w14:paraId="139860BB" w14:textId="17C02745" w:rsidR="007304E7" w:rsidRDefault="00566883" w:rsidP="00601F6D">
            <w:pPr>
              <w:pStyle w:val="NoSpacing"/>
              <w:ind w:left="720" w:hanging="683"/>
            </w:pPr>
            <w:r>
              <w:t>6</w:t>
            </w:r>
            <w:r w:rsidR="007304E7">
              <w:t>.1</w:t>
            </w:r>
          </w:p>
        </w:tc>
        <w:tc>
          <w:tcPr>
            <w:tcW w:w="8857" w:type="dxa"/>
            <w:gridSpan w:val="2"/>
          </w:tcPr>
          <w:p w14:paraId="5621D602" w14:textId="69E0F2D6" w:rsidR="007304E7" w:rsidRDefault="00603992" w:rsidP="008B1ED1">
            <w:pPr>
              <w:pStyle w:val="Default"/>
              <w:jc w:val="both"/>
            </w:pPr>
            <w:r>
              <w:t>T</w:t>
            </w:r>
            <w:r w:rsidR="007304E7">
              <w:t xml:space="preserve">he Board </w:t>
            </w:r>
            <w:r w:rsidR="001D1907">
              <w:t>was previously asked</w:t>
            </w:r>
            <w:r w:rsidR="007304E7">
              <w:t xml:space="preserve"> to</w:t>
            </w:r>
            <w:r w:rsidR="002A1234">
              <w:t xml:space="preserve"> consider </w:t>
            </w:r>
            <w:r w:rsidR="001D0C4E">
              <w:t xml:space="preserve">a proposal to create a policy relating to the employment of </w:t>
            </w:r>
            <w:r w:rsidR="002A1234">
              <w:t>children under the age of 16</w:t>
            </w:r>
            <w:r w:rsidR="001D0C4E">
              <w:t xml:space="preserve">.  This came at a time when </w:t>
            </w:r>
            <w:r w:rsidR="005B1617">
              <w:t>HLH was experiencing recruitment issues in a number of areas of work, but particularly within the catering service.</w:t>
            </w:r>
          </w:p>
          <w:p w14:paraId="57C3A8EB" w14:textId="0141CD35" w:rsidR="002A1234" w:rsidRDefault="002A1234" w:rsidP="0060695D">
            <w:pPr>
              <w:pStyle w:val="Default"/>
              <w:jc w:val="both"/>
            </w:pPr>
          </w:p>
        </w:tc>
      </w:tr>
      <w:tr w:rsidR="00CE6306" w:rsidRPr="00A90AA3" w14:paraId="2090F61B" w14:textId="77777777" w:rsidTr="006D308B">
        <w:trPr>
          <w:gridAfter w:val="2"/>
          <w:wAfter w:w="283" w:type="dxa"/>
          <w:trHeight w:val="387"/>
        </w:trPr>
        <w:tc>
          <w:tcPr>
            <w:tcW w:w="1134" w:type="dxa"/>
          </w:tcPr>
          <w:p w14:paraId="7EE4AB21" w14:textId="7D37FE0A" w:rsidR="0060695D" w:rsidRDefault="00566883" w:rsidP="00601F6D">
            <w:pPr>
              <w:pStyle w:val="NoSpacing"/>
              <w:ind w:left="720" w:hanging="683"/>
            </w:pPr>
            <w:r>
              <w:t>6</w:t>
            </w:r>
            <w:r w:rsidR="0060695D">
              <w:t>.2</w:t>
            </w:r>
          </w:p>
        </w:tc>
        <w:tc>
          <w:tcPr>
            <w:tcW w:w="8857" w:type="dxa"/>
            <w:gridSpan w:val="2"/>
          </w:tcPr>
          <w:p w14:paraId="3DBEA728" w14:textId="3B3EB543" w:rsidR="0060695D" w:rsidRDefault="0060695D" w:rsidP="008B1ED1">
            <w:pPr>
              <w:pStyle w:val="Default"/>
              <w:jc w:val="both"/>
            </w:pPr>
            <w:r>
              <w:t xml:space="preserve">Whilst </w:t>
            </w:r>
            <w:r w:rsidR="007218A3">
              <w:t>information from service colleagues would indicate</w:t>
            </w:r>
            <w:r>
              <w:t xml:space="preserve"> immediate requirement for </w:t>
            </w:r>
            <w:r w:rsidR="00D637D5">
              <w:t>creating employment opportunities to a wider range of ages is no longer</w:t>
            </w:r>
            <w:r w:rsidR="00055F80">
              <w:t xml:space="preserve"> urgent, the Head of HR recognises the importance of developing a young and vibra</w:t>
            </w:r>
            <w:r w:rsidR="00C93825">
              <w:t xml:space="preserve">nt workforce and providing training opportunities </w:t>
            </w:r>
            <w:r w:rsidR="00135C53">
              <w:t>for its future workforce.</w:t>
            </w:r>
          </w:p>
          <w:p w14:paraId="2585FEE9" w14:textId="5DFCB0FE" w:rsidR="0060695D" w:rsidRDefault="0060695D" w:rsidP="008B1ED1">
            <w:pPr>
              <w:pStyle w:val="Default"/>
              <w:jc w:val="both"/>
            </w:pPr>
          </w:p>
        </w:tc>
      </w:tr>
      <w:tr w:rsidR="00CE6306" w:rsidRPr="00A90AA3" w14:paraId="38CAEDE3" w14:textId="77777777" w:rsidTr="006D308B">
        <w:trPr>
          <w:gridAfter w:val="2"/>
          <w:wAfter w:w="283" w:type="dxa"/>
          <w:trHeight w:val="387"/>
        </w:trPr>
        <w:tc>
          <w:tcPr>
            <w:tcW w:w="1134" w:type="dxa"/>
          </w:tcPr>
          <w:p w14:paraId="2AB02A15" w14:textId="3ECA7FDF" w:rsidR="00135C53" w:rsidRDefault="00566883" w:rsidP="00695D6E">
            <w:pPr>
              <w:pStyle w:val="NoSpacing"/>
            </w:pPr>
            <w:r>
              <w:t>6</w:t>
            </w:r>
            <w:r w:rsidR="00135C53">
              <w:t>.3</w:t>
            </w:r>
          </w:p>
        </w:tc>
        <w:tc>
          <w:tcPr>
            <w:tcW w:w="8857" w:type="dxa"/>
            <w:gridSpan w:val="2"/>
          </w:tcPr>
          <w:p w14:paraId="79AF0C17" w14:textId="3AA43351" w:rsidR="00D27E50" w:rsidRDefault="0060499B" w:rsidP="008B1ED1">
            <w:pPr>
              <w:pStyle w:val="Default"/>
              <w:jc w:val="both"/>
            </w:pPr>
            <w:r>
              <w:t xml:space="preserve">The new policy and guidance will therefore continue to be developed in consultation with key services </w:t>
            </w:r>
            <w:r w:rsidR="00135C53">
              <w:t>and as with all policies will be discussed</w:t>
            </w:r>
            <w:r w:rsidR="003F194A">
              <w:t>,</w:t>
            </w:r>
            <w:r w:rsidR="00135C53">
              <w:t xml:space="preserve"> </w:t>
            </w:r>
            <w:proofErr w:type="gramStart"/>
            <w:r w:rsidR="000A4759">
              <w:t>negotiated</w:t>
            </w:r>
            <w:proofErr w:type="gramEnd"/>
            <w:r w:rsidR="000A4759">
              <w:t xml:space="preserve"> </w:t>
            </w:r>
            <w:r w:rsidR="003F194A">
              <w:t xml:space="preserve">and agreed </w:t>
            </w:r>
            <w:r w:rsidR="000A4759">
              <w:t xml:space="preserve">as part of HLH’s commitment to </w:t>
            </w:r>
            <w:r w:rsidR="000140DA">
              <w:t>our union partners in the JCF</w:t>
            </w:r>
            <w:r w:rsidR="003F194A">
              <w:t xml:space="preserve">. Once this position </w:t>
            </w:r>
            <w:r w:rsidR="00277BEE">
              <w:t>is</w:t>
            </w:r>
            <w:r w:rsidR="003F194A">
              <w:t xml:space="preserve"> reached final approval will be sought</w:t>
            </w:r>
            <w:r w:rsidR="00A10D19">
              <w:t xml:space="preserve"> from the Board. </w:t>
            </w:r>
          </w:p>
          <w:p w14:paraId="434B3F5F" w14:textId="699E51A5" w:rsidR="00135C53" w:rsidRDefault="000140DA" w:rsidP="008B1ED1">
            <w:pPr>
              <w:pStyle w:val="Default"/>
              <w:jc w:val="both"/>
            </w:pPr>
            <w:r>
              <w:t xml:space="preserve"> </w:t>
            </w:r>
          </w:p>
        </w:tc>
      </w:tr>
      <w:tr w:rsidR="00D46DBE" w:rsidRPr="00A90AA3" w14:paraId="2F95BCAE" w14:textId="77777777" w:rsidTr="006D308B">
        <w:trPr>
          <w:gridAfter w:val="2"/>
          <w:wAfter w:w="283" w:type="dxa"/>
          <w:trHeight w:val="387"/>
        </w:trPr>
        <w:tc>
          <w:tcPr>
            <w:tcW w:w="1134" w:type="dxa"/>
          </w:tcPr>
          <w:p w14:paraId="19DD7BAE" w14:textId="04CDBA22" w:rsidR="00D46DBE" w:rsidRDefault="007F569A" w:rsidP="00695D6E">
            <w:pPr>
              <w:pStyle w:val="NoSpacing"/>
              <w:rPr>
                <w:b/>
                <w:bCs/>
              </w:rPr>
            </w:pPr>
            <w:r w:rsidRPr="00853DB2">
              <w:rPr>
                <w:b/>
                <w:bCs/>
              </w:rPr>
              <w:t>7.</w:t>
            </w:r>
          </w:p>
          <w:p w14:paraId="0606E778" w14:textId="7ACEFFB1" w:rsidR="0061216D" w:rsidRPr="00853DB2" w:rsidRDefault="0061216D" w:rsidP="00695D6E">
            <w:pPr>
              <w:pStyle w:val="NoSpacing"/>
              <w:rPr>
                <w:b/>
                <w:bCs/>
              </w:rPr>
            </w:pPr>
          </w:p>
        </w:tc>
        <w:tc>
          <w:tcPr>
            <w:tcW w:w="8857" w:type="dxa"/>
            <w:gridSpan w:val="2"/>
          </w:tcPr>
          <w:p w14:paraId="51EA9653" w14:textId="29DFD521" w:rsidR="00D46DBE" w:rsidRPr="00853DB2" w:rsidRDefault="007F569A" w:rsidP="008B1ED1">
            <w:pPr>
              <w:pStyle w:val="Default"/>
              <w:jc w:val="both"/>
              <w:rPr>
                <w:b/>
                <w:bCs/>
              </w:rPr>
            </w:pPr>
            <w:r w:rsidRPr="00853DB2">
              <w:rPr>
                <w:b/>
                <w:bCs/>
              </w:rPr>
              <w:t xml:space="preserve">Corporate Training </w:t>
            </w:r>
            <w:r w:rsidR="00441968">
              <w:rPr>
                <w:b/>
                <w:bCs/>
              </w:rPr>
              <w:t>Update</w:t>
            </w:r>
          </w:p>
        </w:tc>
      </w:tr>
      <w:tr w:rsidR="00853DB2" w:rsidRPr="00A90AA3" w14:paraId="0BCA32A0" w14:textId="77777777" w:rsidTr="006D308B">
        <w:trPr>
          <w:gridAfter w:val="2"/>
          <w:wAfter w:w="283" w:type="dxa"/>
          <w:trHeight w:val="387"/>
        </w:trPr>
        <w:tc>
          <w:tcPr>
            <w:tcW w:w="1134" w:type="dxa"/>
          </w:tcPr>
          <w:p w14:paraId="65800402" w14:textId="78DF0598" w:rsidR="00853DB2" w:rsidRPr="009201D8" w:rsidRDefault="009201D8" w:rsidP="00695D6E">
            <w:pPr>
              <w:pStyle w:val="NoSpacing"/>
            </w:pPr>
            <w:r w:rsidRPr="009201D8">
              <w:t>7.1</w:t>
            </w:r>
          </w:p>
          <w:p w14:paraId="6D58CF5C" w14:textId="77777777" w:rsidR="003D51DF" w:rsidRDefault="003D51DF" w:rsidP="00695D6E">
            <w:pPr>
              <w:pStyle w:val="NoSpacing"/>
              <w:rPr>
                <w:b/>
                <w:bCs/>
              </w:rPr>
            </w:pPr>
          </w:p>
          <w:p w14:paraId="18D922EE" w14:textId="77777777" w:rsidR="003D51DF" w:rsidRDefault="003D51DF" w:rsidP="00695D6E">
            <w:pPr>
              <w:pStyle w:val="NoSpacing"/>
              <w:rPr>
                <w:b/>
                <w:bCs/>
              </w:rPr>
            </w:pPr>
          </w:p>
          <w:p w14:paraId="46CF0685" w14:textId="77777777" w:rsidR="003D51DF" w:rsidRDefault="003D51DF" w:rsidP="00695D6E">
            <w:pPr>
              <w:pStyle w:val="NoSpacing"/>
              <w:rPr>
                <w:b/>
                <w:bCs/>
              </w:rPr>
            </w:pPr>
          </w:p>
          <w:p w14:paraId="0A60CC43" w14:textId="77777777" w:rsidR="003D51DF" w:rsidRDefault="003D51DF" w:rsidP="00695D6E">
            <w:pPr>
              <w:pStyle w:val="NoSpacing"/>
              <w:rPr>
                <w:b/>
                <w:bCs/>
              </w:rPr>
            </w:pPr>
          </w:p>
          <w:p w14:paraId="4D0C6BC5" w14:textId="77777777" w:rsidR="003D51DF" w:rsidRDefault="003D51DF" w:rsidP="00695D6E">
            <w:pPr>
              <w:pStyle w:val="NoSpacing"/>
              <w:rPr>
                <w:b/>
                <w:bCs/>
              </w:rPr>
            </w:pPr>
          </w:p>
          <w:p w14:paraId="7B75F79C" w14:textId="77777777" w:rsidR="003D51DF" w:rsidRDefault="003D51DF" w:rsidP="00695D6E">
            <w:pPr>
              <w:pStyle w:val="NoSpacing"/>
              <w:rPr>
                <w:b/>
                <w:bCs/>
              </w:rPr>
            </w:pPr>
          </w:p>
          <w:p w14:paraId="597E67BC" w14:textId="77777777" w:rsidR="003D51DF" w:rsidRDefault="003D51DF" w:rsidP="00695D6E">
            <w:pPr>
              <w:pStyle w:val="NoSpacing"/>
              <w:rPr>
                <w:b/>
                <w:bCs/>
              </w:rPr>
            </w:pPr>
          </w:p>
          <w:p w14:paraId="47CC1BF5" w14:textId="108BEC4F" w:rsidR="003D51DF" w:rsidRPr="003D51DF" w:rsidRDefault="003D51DF" w:rsidP="00695D6E">
            <w:pPr>
              <w:pStyle w:val="NoSpacing"/>
            </w:pPr>
            <w:r>
              <w:t xml:space="preserve"> 7.</w:t>
            </w:r>
            <w:r w:rsidR="009201D8">
              <w:t>2</w:t>
            </w:r>
          </w:p>
        </w:tc>
        <w:tc>
          <w:tcPr>
            <w:tcW w:w="8857" w:type="dxa"/>
            <w:gridSpan w:val="2"/>
          </w:tcPr>
          <w:p w14:paraId="03C05BE4" w14:textId="124B30DD" w:rsidR="00853DB2" w:rsidRDefault="00C06906" w:rsidP="008B1ED1">
            <w:pPr>
              <w:pStyle w:val="Default"/>
              <w:jc w:val="both"/>
            </w:pPr>
            <w:r w:rsidRPr="00276E59">
              <w:t>The</w:t>
            </w:r>
            <w:r w:rsidR="00441968" w:rsidRPr="00276E59">
              <w:t xml:space="preserve"> Director of Corporate Services is currently</w:t>
            </w:r>
            <w:r w:rsidRPr="00276E59">
              <w:t xml:space="preserve"> undertak</w:t>
            </w:r>
            <w:r w:rsidR="006F69E7" w:rsidRPr="00276E59">
              <w:t>ing</w:t>
            </w:r>
            <w:r w:rsidRPr="00276E59">
              <w:t xml:space="preserve"> a </w:t>
            </w:r>
            <w:r w:rsidR="007669B2" w:rsidRPr="00276E59">
              <w:t xml:space="preserve">portfolio </w:t>
            </w:r>
            <w:r w:rsidRPr="00276E59">
              <w:t xml:space="preserve">review of </w:t>
            </w:r>
            <w:r w:rsidR="004543B6">
              <w:t xml:space="preserve">the areas within </w:t>
            </w:r>
            <w:r w:rsidRPr="00276E59">
              <w:t>Corporate Services and</w:t>
            </w:r>
            <w:r w:rsidR="00FB4944" w:rsidRPr="00276E59">
              <w:t xml:space="preserve"> </w:t>
            </w:r>
            <w:r w:rsidR="00425EEE">
              <w:t>as part of</w:t>
            </w:r>
            <w:r w:rsidR="00977D6F">
              <w:t xml:space="preserve"> that</w:t>
            </w:r>
            <w:r w:rsidR="000213FE">
              <w:t xml:space="preserve">, </w:t>
            </w:r>
            <w:r w:rsidR="00FB4944" w:rsidRPr="00276E59">
              <w:t>identifying resource and service gaps</w:t>
            </w:r>
            <w:r w:rsidR="007669B2" w:rsidRPr="00276E59">
              <w:t xml:space="preserve"> within each department</w:t>
            </w:r>
            <w:r w:rsidR="00492956" w:rsidRPr="00276E59">
              <w:t xml:space="preserve">.  </w:t>
            </w:r>
            <w:r w:rsidR="00A84650" w:rsidRPr="00276E59">
              <w:t xml:space="preserve">This </w:t>
            </w:r>
            <w:r w:rsidR="004569CF">
              <w:t>i</w:t>
            </w:r>
            <w:r w:rsidR="00A84650" w:rsidRPr="00276E59">
              <w:t>nclude</w:t>
            </w:r>
            <w:r w:rsidR="004569CF">
              <w:t>s</w:t>
            </w:r>
            <w:r w:rsidR="00A84650" w:rsidRPr="00276E59">
              <w:t xml:space="preserve"> </w:t>
            </w:r>
            <w:r w:rsidR="00C75B9B" w:rsidRPr="00276E59">
              <w:t xml:space="preserve">a review of </w:t>
            </w:r>
            <w:r w:rsidR="00002094" w:rsidRPr="00276E59">
              <w:t xml:space="preserve">corporate training </w:t>
            </w:r>
            <w:r w:rsidR="00CF2DBD">
              <w:t>(delivery and monitoring)</w:t>
            </w:r>
            <w:r w:rsidR="00002094" w:rsidRPr="00276E59">
              <w:t xml:space="preserve"> and </w:t>
            </w:r>
            <w:r w:rsidR="00A93EF2">
              <w:t>establishing</w:t>
            </w:r>
            <w:r w:rsidR="008D5881" w:rsidRPr="00276E59">
              <w:t xml:space="preserve"> a budgetary</w:t>
            </w:r>
            <w:r w:rsidR="00041283">
              <w:t xml:space="preserve"> and resource</w:t>
            </w:r>
            <w:r w:rsidR="008D5881" w:rsidRPr="00276E59">
              <w:t xml:space="preserve"> mechanism to support</w:t>
            </w:r>
            <w:r w:rsidR="00997685" w:rsidRPr="00276E59">
              <w:t xml:space="preserve"> this</w:t>
            </w:r>
            <w:r w:rsidR="00041283">
              <w:t>.</w:t>
            </w:r>
            <w:r w:rsidR="00123836">
              <w:t xml:space="preserve"> </w:t>
            </w:r>
            <w:r w:rsidR="00FA4B24">
              <w:t>(</w:t>
            </w:r>
            <w:r w:rsidR="00D27E50">
              <w:t>Directors</w:t>
            </w:r>
            <w:r w:rsidR="00FA4B24">
              <w:t xml:space="preserve"> should also note the specific matter of a training resource has been raised by the members of the Health and Safety and Environmental Compliance Committee (HSECC). </w:t>
            </w:r>
          </w:p>
          <w:p w14:paraId="5AEA5BE4" w14:textId="77777777" w:rsidR="009F7B51" w:rsidRDefault="009F7B51" w:rsidP="008B1ED1">
            <w:pPr>
              <w:pStyle w:val="Default"/>
              <w:jc w:val="both"/>
            </w:pPr>
          </w:p>
          <w:p w14:paraId="51B8219D" w14:textId="77777777" w:rsidR="00853DB2" w:rsidRDefault="009F7B51" w:rsidP="008B1ED1">
            <w:pPr>
              <w:pStyle w:val="Default"/>
              <w:jc w:val="both"/>
            </w:pPr>
            <w:r>
              <w:t xml:space="preserve">An update will be presented to a future Board meeting through the HR Report. </w:t>
            </w:r>
          </w:p>
          <w:p w14:paraId="21DC2DFA" w14:textId="77777777" w:rsidR="0086227B" w:rsidRDefault="0086227B" w:rsidP="008B1ED1">
            <w:pPr>
              <w:pStyle w:val="Default"/>
              <w:jc w:val="both"/>
            </w:pPr>
          </w:p>
          <w:p w14:paraId="7C596024" w14:textId="5133F7D9" w:rsidR="00853DB2" w:rsidRPr="00276E59" w:rsidRDefault="00853DB2" w:rsidP="008B1ED1">
            <w:pPr>
              <w:pStyle w:val="Default"/>
              <w:jc w:val="both"/>
            </w:pPr>
          </w:p>
        </w:tc>
      </w:tr>
      <w:tr w:rsidR="00CE6306" w:rsidRPr="00A90AA3" w14:paraId="1B5C7740" w14:textId="77777777" w:rsidTr="006D308B">
        <w:trPr>
          <w:gridAfter w:val="2"/>
          <w:wAfter w:w="283" w:type="dxa"/>
          <w:trHeight w:val="387"/>
        </w:trPr>
        <w:tc>
          <w:tcPr>
            <w:tcW w:w="1134" w:type="dxa"/>
          </w:tcPr>
          <w:p w14:paraId="1232034A" w14:textId="1BE0AC36" w:rsidR="00601F6D" w:rsidRPr="00FD39F5" w:rsidRDefault="00D177B6" w:rsidP="00601F6D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8</w:t>
            </w:r>
            <w:r w:rsidR="00601F6D" w:rsidRPr="00FD39F5">
              <w:rPr>
                <w:rFonts w:ascii="Arial" w:hAnsi="Arial" w:cs="Arial"/>
                <w:b/>
                <w:szCs w:val="24"/>
              </w:rPr>
              <w:t>.</w:t>
            </w:r>
          </w:p>
          <w:p w14:paraId="0ED62F99" w14:textId="20A204B2" w:rsidR="00601F6D" w:rsidRPr="00095132" w:rsidRDefault="00601F6D" w:rsidP="00601F6D">
            <w:pPr>
              <w:pStyle w:val="NoSpacing"/>
              <w:ind w:left="720" w:hanging="683"/>
            </w:pPr>
          </w:p>
        </w:tc>
        <w:tc>
          <w:tcPr>
            <w:tcW w:w="8857" w:type="dxa"/>
            <w:gridSpan w:val="2"/>
          </w:tcPr>
          <w:p w14:paraId="23B4F37E" w14:textId="77777777" w:rsidR="00601F6D" w:rsidRPr="0017031E" w:rsidRDefault="00601F6D" w:rsidP="00601F6D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17031E">
              <w:rPr>
                <w:rFonts w:ascii="Arial" w:hAnsi="Arial" w:cs="Arial"/>
                <w:b/>
                <w:szCs w:val="24"/>
              </w:rPr>
              <w:t>Policies update</w:t>
            </w:r>
          </w:p>
          <w:p w14:paraId="49ECC55E" w14:textId="561C1000" w:rsidR="00601F6D" w:rsidRPr="00095132" w:rsidRDefault="00601F6D" w:rsidP="00601F6D">
            <w:pPr>
              <w:pStyle w:val="Default"/>
            </w:pPr>
          </w:p>
        </w:tc>
      </w:tr>
      <w:tr w:rsidR="00D27E50" w:rsidRPr="00A90AA3" w14:paraId="4CB9B8D7" w14:textId="77777777" w:rsidTr="006D308B">
        <w:trPr>
          <w:gridAfter w:val="1"/>
          <w:wAfter w:w="265" w:type="dxa"/>
          <w:trHeight w:val="387"/>
        </w:trPr>
        <w:tc>
          <w:tcPr>
            <w:tcW w:w="1134" w:type="dxa"/>
          </w:tcPr>
          <w:p w14:paraId="64A7A80D" w14:textId="5B0D787A" w:rsidR="00D27E50" w:rsidRPr="00D27E50" w:rsidRDefault="00D27E50" w:rsidP="00601F6D">
            <w:pPr>
              <w:rPr>
                <w:rFonts w:ascii="Arial" w:hAnsi="Arial" w:cs="Arial"/>
                <w:bCs/>
                <w:szCs w:val="24"/>
              </w:rPr>
            </w:pPr>
            <w:r w:rsidRPr="00D27E50">
              <w:rPr>
                <w:rFonts w:ascii="Arial" w:hAnsi="Arial" w:cs="Arial"/>
                <w:bCs/>
                <w:szCs w:val="24"/>
              </w:rPr>
              <w:t>8.1</w:t>
            </w:r>
          </w:p>
        </w:tc>
        <w:tc>
          <w:tcPr>
            <w:tcW w:w="8875" w:type="dxa"/>
            <w:gridSpan w:val="3"/>
          </w:tcPr>
          <w:p w14:paraId="2B09307F" w14:textId="77777777" w:rsidR="00D27E50" w:rsidRDefault="00D27E50" w:rsidP="00D27E50">
            <w:pPr>
              <w:ind w:right="-103"/>
              <w:jc w:val="both"/>
              <w:rPr>
                <w:rFonts w:ascii="Arial" w:hAnsi="Arial" w:cs="Arial"/>
                <w:szCs w:val="24"/>
              </w:rPr>
            </w:pPr>
            <w:r w:rsidRPr="00066820">
              <w:rPr>
                <w:rFonts w:ascii="Arial" w:hAnsi="Arial" w:cs="Arial"/>
                <w:szCs w:val="24"/>
              </w:rPr>
              <w:t>The following policies have been considered in line with the review schedule:</w:t>
            </w:r>
          </w:p>
          <w:p w14:paraId="1A963D39" w14:textId="77777777" w:rsidR="00D27E50" w:rsidRPr="00CB6FD6" w:rsidRDefault="00D27E50" w:rsidP="00D27E50">
            <w:pPr>
              <w:ind w:right="-103"/>
              <w:jc w:val="both"/>
              <w:rPr>
                <w:rFonts w:ascii="Arial" w:hAnsi="Arial" w:cs="Arial"/>
                <w:szCs w:val="24"/>
              </w:rPr>
            </w:pPr>
          </w:p>
          <w:p w14:paraId="10B77952" w14:textId="77777777" w:rsidR="00D27E50" w:rsidRPr="00C97CD3" w:rsidRDefault="00D27E50" w:rsidP="00D27E50">
            <w:pPr>
              <w:numPr>
                <w:ilvl w:val="0"/>
                <w:numId w:val="12"/>
              </w:numPr>
              <w:rPr>
                <w:rFonts w:ascii="Arial" w:hAnsi="Arial" w:cs="Arial"/>
                <w:szCs w:val="24"/>
              </w:rPr>
            </w:pPr>
            <w:r w:rsidRPr="00C97CD3">
              <w:rPr>
                <w:rFonts w:ascii="Arial" w:hAnsi="Arial" w:cs="Arial"/>
                <w:szCs w:val="24"/>
              </w:rPr>
              <w:t>Code of Conduct</w:t>
            </w:r>
            <w:r>
              <w:rPr>
                <w:rFonts w:ascii="Arial" w:hAnsi="Arial" w:cs="Arial"/>
                <w:szCs w:val="24"/>
              </w:rPr>
              <w:t xml:space="preserve"> – Currently under review to reflect ‘Making Life Better’ standard which also incorporates the ‘</w:t>
            </w:r>
            <w:proofErr w:type="spellStart"/>
            <w:r>
              <w:rPr>
                <w:rFonts w:ascii="Arial" w:hAnsi="Arial" w:cs="Arial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Cs w:val="24"/>
              </w:rPr>
              <w:t>-care’ people values. Updated Code of Conduct will be presented to a future Board meeting.</w:t>
            </w:r>
          </w:p>
          <w:p w14:paraId="69B5E872" w14:textId="77777777" w:rsidR="00D27E50" w:rsidRPr="00C97CD3" w:rsidRDefault="00D27E50" w:rsidP="00D27E50">
            <w:pPr>
              <w:numPr>
                <w:ilvl w:val="0"/>
                <w:numId w:val="12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Protection and Safeguarding Policy – Reviewed with no changes required</w:t>
            </w:r>
          </w:p>
          <w:p w14:paraId="02A35D52" w14:textId="77777777" w:rsidR="00D27E50" w:rsidRPr="00C97CD3" w:rsidRDefault="00D27E50" w:rsidP="00D27E50">
            <w:pPr>
              <w:numPr>
                <w:ilvl w:val="0"/>
                <w:numId w:val="12"/>
              </w:numPr>
              <w:rPr>
                <w:rFonts w:ascii="Arial" w:hAnsi="Arial" w:cs="Arial"/>
                <w:szCs w:val="24"/>
              </w:rPr>
            </w:pPr>
            <w:r w:rsidRPr="00C97CD3">
              <w:rPr>
                <w:rFonts w:ascii="Arial" w:hAnsi="Arial" w:cs="Arial"/>
                <w:szCs w:val="24"/>
              </w:rPr>
              <w:t>Security of Disclosure Information</w:t>
            </w:r>
            <w:r>
              <w:rPr>
                <w:rFonts w:ascii="Arial" w:hAnsi="Arial" w:cs="Arial"/>
                <w:szCs w:val="24"/>
              </w:rPr>
              <w:t xml:space="preserve"> – Reviewed with no changes required</w:t>
            </w:r>
          </w:p>
          <w:p w14:paraId="503FC896" w14:textId="77777777" w:rsidR="00D27E50" w:rsidRPr="00C97CD3" w:rsidRDefault="00D27E50" w:rsidP="00D27E50">
            <w:pPr>
              <w:numPr>
                <w:ilvl w:val="0"/>
                <w:numId w:val="12"/>
              </w:numPr>
              <w:rPr>
                <w:rFonts w:ascii="Arial" w:hAnsi="Arial" w:cs="Arial"/>
                <w:szCs w:val="24"/>
              </w:rPr>
            </w:pPr>
            <w:r w:rsidRPr="00C97CD3">
              <w:rPr>
                <w:rFonts w:ascii="Arial" w:hAnsi="Arial" w:cs="Arial"/>
                <w:szCs w:val="24"/>
              </w:rPr>
              <w:t>Recruitment and Engagement of Ex-Offenders</w:t>
            </w:r>
            <w:r>
              <w:rPr>
                <w:rFonts w:ascii="Arial" w:hAnsi="Arial" w:cs="Arial"/>
                <w:szCs w:val="24"/>
              </w:rPr>
              <w:t xml:space="preserve"> – Reviewed with no changes required</w:t>
            </w:r>
          </w:p>
          <w:p w14:paraId="39FF0C5E" w14:textId="77777777" w:rsidR="00D27E50" w:rsidRPr="00C97CD3" w:rsidRDefault="00D27E50" w:rsidP="00D27E50">
            <w:pPr>
              <w:numPr>
                <w:ilvl w:val="0"/>
                <w:numId w:val="12"/>
              </w:numPr>
              <w:rPr>
                <w:rFonts w:ascii="Arial" w:hAnsi="Arial" w:cs="Arial"/>
                <w:szCs w:val="24"/>
              </w:rPr>
            </w:pPr>
            <w:r w:rsidRPr="00C97CD3">
              <w:rPr>
                <w:rFonts w:ascii="Arial" w:hAnsi="Arial" w:cs="Arial"/>
                <w:szCs w:val="24"/>
              </w:rPr>
              <w:t>Protecting Vulnerable Groups</w:t>
            </w:r>
            <w:r>
              <w:rPr>
                <w:rFonts w:ascii="Arial" w:hAnsi="Arial" w:cs="Arial"/>
                <w:szCs w:val="24"/>
              </w:rPr>
              <w:t xml:space="preserve"> - Reviewed with no changes required</w:t>
            </w:r>
          </w:p>
          <w:p w14:paraId="088A55E2" w14:textId="77777777" w:rsidR="00D27E50" w:rsidRPr="005549A9" w:rsidRDefault="00D27E50" w:rsidP="00D27E50">
            <w:pPr>
              <w:numPr>
                <w:ilvl w:val="0"/>
                <w:numId w:val="12"/>
              </w:numPr>
              <w:rPr>
                <w:rFonts w:ascii="Arial" w:hAnsi="Arial" w:cs="Arial"/>
                <w:szCs w:val="24"/>
              </w:rPr>
            </w:pPr>
            <w:r w:rsidRPr="005549A9">
              <w:rPr>
                <w:rFonts w:ascii="Arial" w:hAnsi="Arial" w:cs="Arial"/>
                <w:szCs w:val="24"/>
              </w:rPr>
              <w:t xml:space="preserve">Data Protection Policy – Reviewed with </w:t>
            </w:r>
            <w:r>
              <w:rPr>
                <w:rFonts w:ascii="Arial" w:hAnsi="Arial" w:cs="Arial"/>
                <w:szCs w:val="24"/>
              </w:rPr>
              <w:t>minor update to reflect post Brexit reference to UK GDPR.</w:t>
            </w:r>
          </w:p>
          <w:p w14:paraId="0EE6F10A" w14:textId="77777777" w:rsidR="00D27E50" w:rsidRPr="00D27E50" w:rsidRDefault="00D27E50" w:rsidP="00601F6D">
            <w:pPr>
              <w:jc w:val="both"/>
              <w:rPr>
                <w:rFonts w:ascii="Arial" w:hAnsi="Arial" w:cs="Arial"/>
                <w:bCs/>
                <w:szCs w:val="24"/>
              </w:rPr>
            </w:pPr>
          </w:p>
        </w:tc>
      </w:tr>
      <w:tr w:rsidR="006D0D6A" w:rsidRPr="00A90AA3" w14:paraId="0567F364" w14:textId="77777777" w:rsidTr="006D308B">
        <w:tc>
          <w:tcPr>
            <w:tcW w:w="1134" w:type="dxa"/>
          </w:tcPr>
          <w:p w14:paraId="26E27BC8" w14:textId="3D57C5FB" w:rsidR="006D0D6A" w:rsidRPr="00F80CF1" w:rsidRDefault="00D177B6" w:rsidP="000E18CA">
            <w:pPr>
              <w:pStyle w:val="NoSpacing"/>
              <w:rPr>
                <w:b/>
                <w:bCs/>
              </w:rPr>
            </w:pPr>
            <w:bookmarkStart w:id="4" w:name="_Hlk97757709"/>
            <w:r>
              <w:rPr>
                <w:b/>
                <w:bCs/>
              </w:rPr>
              <w:t>9</w:t>
            </w:r>
            <w:r w:rsidR="00E55373" w:rsidRPr="00F80CF1">
              <w:rPr>
                <w:b/>
                <w:bCs/>
              </w:rPr>
              <w:t>.</w:t>
            </w:r>
          </w:p>
        </w:tc>
        <w:tc>
          <w:tcPr>
            <w:tcW w:w="9140" w:type="dxa"/>
            <w:gridSpan w:val="4"/>
          </w:tcPr>
          <w:p w14:paraId="59B3616D" w14:textId="0E1C2ED1" w:rsidR="006D0D6A" w:rsidRPr="00A90AA3" w:rsidRDefault="006D0D6A" w:rsidP="006C2604">
            <w:pPr>
              <w:pStyle w:val="NoSpacing"/>
              <w:rPr>
                <w:b/>
                <w:bCs/>
              </w:rPr>
            </w:pPr>
            <w:r w:rsidRPr="00A90AA3">
              <w:rPr>
                <w:b/>
                <w:bCs/>
              </w:rPr>
              <w:t>Implications</w:t>
            </w:r>
          </w:p>
          <w:p w14:paraId="51AD6E29" w14:textId="77777777" w:rsidR="006D0D6A" w:rsidRPr="00A90AA3" w:rsidRDefault="006D0D6A" w:rsidP="006C2604">
            <w:pPr>
              <w:pStyle w:val="NoSpacing"/>
              <w:rPr>
                <w:b/>
                <w:bCs/>
              </w:rPr>
            </w:pPr>
          </w:p>
        </w:tc>
      </w:tr>
      <w:tr w:rsidR="006D0D6A" w:rsidRPr="00A90AA3" w14:paraId="73FE3FB2" w14:textId="77777777" w:rsidTr="006D308B">
        <w:tc>
          <w:tcPr>
            <w:tcW w:w="1134" w:type="dxa"/>
          </w:tcPr>
          <w:p w14:paraId="7FF0E44B" w14:textId="6CE8CE85" w:rsidR="006D0D6A" w:rsidRPr="00A90AA3" w:rsidRDefault="00D177B6" w:rsidP="00E55373">
            <w:pPr>
              <w:pStyle w:val="NoSpacing"/>
              <w:ind w:left="792" w:hanging="755"/>
            </w:pPr>
            <w:r>
              <w:t>9</w:t>
            </w:r>
            <w:r w:rsidR="00E55373">
              <w:t>.1</w:t>
            </w:r>
          </w:p>
        </w:tc>
        <w:tc>
          <w:tcPr>
            <w:tcW w:w="9140" w:type="dxa"/>
            <w:gridSpan w:val="4"/>
          </w:tcPr>
          <w:p w14:paraId="3004C6B7" w14:textId="7FD587C7" w:rsidR="00BE3CFC" w:rsidRPr="00A90AA3" w:rsidRDefault="006D0D6A" w:rsidP="00BE3CFC">
            <w:pPr>
              <w:jc w:val="both"/>
              <w:rPr>
                <w:rFonts w:ascii="Arial" w:hAnsi="Arial" w:cs="Arial"/>
                <w:szCs w:val="24"/>
              </w:rPr>
            </w:pPr>
            <w:r w:rsidRPr="00A90AA3">
              <w:rPr>
                <w:rFonts w:ascii="Arial" w:hAnsi="Arial" w:cs="Arial"/>
                <w:szCs w:val="24"/>
              </w:rPr>
              <w:t>Resource Implications –</w:t>
            </w:r>
            <w:r w:rsidR="00C95D32">
              <w:rPr>
                <w:rFonts w:ascii="Arial" w:hAnsi="Arial" w:cs="Arial"/>
                <w:szCs w:val="24"/>
              </w:rPr>
              <w:t xml:space="preserve"> </w:t>
            </w:r>
            <w:r w:rsidR="00BE3CFC" w:rsidRPr="005B1556">
              <w:rPr>
                <w:rFonts w:ascii="Arial" w:hAnsi="Arial" w:cs="Arial"/>
                <w:szCs w:val="24"/>
              </w:rPr>
              <w:t xml:space="preserve">there are </w:t>
            </w:r>
            <w:r w:rsidR="00E12B51" w:rsidRPr="005B1556">
              <w:rPr>
                <w:rFonts w:ascii="Arial" w:hAnsi="Arial" w:cs="Arial"/>
                <w:szCs w:val="24"/>
              </w:rPr>
              <w:t xml:space="preserve">no new resource implications arising from the report, at this stage. However, there is potential for </w:t>
            </w:r>
            <w:r w:rsidR="00BE3CFC" w:rsidRPr="005B1556">
              <w:rPr>
                <w:rFonts w:ascii="Arial" w:hAnsi="Arial" w:cs="Arial"/>
                <w:szCs w:val="24"/>
              </w:rPr>
              <w:t xml:space="preserve">additional </w:t>
            </w:r>
            <w:r w:rsidR="00E12B51" w:rsidRPr="005B1556">
              <w:rPr>
                <w:rFonts w:ascii="Arial" w:hAnsi="Arial" w:cs="Arial"/>
                <w:szCs w:val="24"/>
              </w:rPr>
              <w:t xml:space="preserve">financial </w:t>
            </w:r>
            <w:r w:rsidR="00BE3CFC" w:rsidRPr="005B1556">
              <w:rPr>
                <w:rFonts w:ascii="Arial" w:hAnsi="Arial" w:cs="Arial"/>
                <w:szCs w:val="24"/>
              </w:rPr>
              <w:t>resource</w:t>
            </w:r>
            <w:r w:rsidR="00E12B51" w:rsidRPr="005B1556">
              <w:rPr>
                <w:rFonts w:ascii="Arial" w:hAnsi="Arial" w:cs="Arial"/>
                <w:szCs w:val="24"/>
              </w:rPr>
              <w:t>s, depending on the outcome of the highlighted ‘trial redeployment period’.</w:t>
            </w:r>
            <w:r w:rsidR="00BE3CFC" w:rsidRPr="005B1556">
              <w:rPr>
                <w:rFonts w:ascii="Arial" w:hAnsi="Arial" w:cs="Arial"/>
                <w:szCs w:val="24"/>
              </w:rPr>
              <w:t xml:space="preserve"> </w:t>
            </w:r>
            <w:r w:rsidR="00BE3CFC">
              <w:rPr>
                <w:rFonts w:ascii="Arial" w:hAnsi="Arial" w:cs="Arial"/>
                <w:szCs w:val="24"/>
              </w:rPr>
              <w:t xml:space="preserve"> </w:t>
            </w:r>
          </w:p>
          <w:p w14:paraId="57730E73" w14:textId="424839B7" w:rsidR="00824844" w:rsidRPr="00A90AA3" w:rsidRDefault="00824844" w:rsidP="00C95D32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D0D6A" w:rsidRPr="00A90AA3" w14:paraId="5C2E0047" w14:textId="77777777" w:rsidTr="006D308B">
        <w:tc>
          <w:tcPr>
            <w:tcW w:w="1134" w:type="dxa"/>
          </w:tcPr>
          <w:p w14:paraId="3882572D" w14:textId="6BF50EF6" w:rsidR="006D0D6A" w:rsidRPr="00A90AA3" w:rsidRDefault="00D177B6" w:rsidP="00E55373">
            <w:pPr>
              <w:pStyle w:val="NoSpacing"/>
              <w:ind w:left="792" w:hanging="755"/>
            </w:pPr>
            <w:r>
              <w:t>9</w:t>
            </w:r>
            <w:r w:rsidR="00E55373">
              <w:t>.2</w:t>
            </w:r>
          </w:p>
        </w:tc>
        <w:tc>
          <w:tcPr>
            <w:tcW w:w="9140" w:type="dxa"/>
            <w:gridSpan w:val="4"/>
          </w:tcPr>
          <w:p w14:paraId="7D2CBC71" w14:textId="77777777" w:rsidR="006D0D6A" w:rsidRDefault="006D0D6A" w:rsidP="00264D4B">
            <w:pPr>
              <w:jc w:val="both"/>
              <w:rPr>
                <w:rFonts w:ascii="Arial" w:hAnsi="Arial" w:cs="Arial"/>
                <w:szCs w:val="24"/>
              </w:rPr>
            </w:pPr>
            <w:r w:rsidRPr="00A90AA3">
              <w:rPr>
                <w:rFonts w:ascii="Arial" w:hAnsi="Arial" w:cs="Arial"/>
                <w:szCs w:val="24"/>
              </w:rPr>
              <w:t xml:space="preserve">Legal Implications </w:t>
            </w:r>
            <w:r w:rsidR="00CE0B75">
              <w:rPr>
                <w:rFonts w:ascii="Arial" w:hAnsi="Arial" w:cs="Arial"/>
                <w:szCs w:val="24"/>
              </w:rPr>
              <w:t>–</w:t>
            </w:r>
            <w:r w:rsidR="00264D4B">
              <w:rPr>
                <w:rFonts w:ascii="Arial" w:hAnsi="Arial" w:cs="Arial"/>
                <w:szCs w:val="24"/>
              </w:rPr>
              <w:t xml:space="preserve"> there are no new legal implications arising from this report</w:t>
            </w:r>
          </w:p>
          <w:p w14:paraId="7B5738E1" w14:textId="1DE534F1" w:rsidR="00264D4B" w:rsidRPr="00A90AA3" w:rsidRDefault="00264D4B" w:rsidP="00264D4B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D0D6A" w:rsidRPr="00A90AA3" w14:paraId="69CCE2DA" w14:textId="77777777" w:rsidTr="006D308B">
        <w:tc>
          <w:tcPr>
            <w:tcW w:w="1134" w:type="dxa"/>
          </w:tcPr>
          <w:p w14:paraId="7DEA9F26" w14:textId="01003A11" w:rsidR="006D0D6A" w:rsidRPr="00A90AA3" w:rsidRDefault="00D177B6" w:rsidP="00E55373">
            <w:pPr>
              <w:pStyle w:val="NoSpacing"/>
              <w:ind w:left="792" w:hanging="755"/>
            </w:pPr>
            <w:r>
              <w:t>9</w:t>
            </w:r>
            <w:r w:rsidR="00E55373">
              <w:t>.3</w:t>
            </w:r>
          </w:p>
        </w:tc>
        <w:tc>
          <w:tcPr>
            <w:tcW w:w="9140" w:type="dxa"/>
            <w:gridSpan w:val="4"/>
          </w:tcPr>
          <w:p w14:paraId="0A4F4BE1" w14:textId="77777777" w:rsidR="006D0D6A" w:rsidRPr="00A90AA3" w:rsidRDefault="006D0D6A" w:rsidP="006C2604">
            <w:pPr>
              <w:jc w:val="both"/>
              <w:rPr>
                <w:rFonts w:ascii="Arial" w:hAnsi="Arial" w:cs="Arial"/>
                <w:szCs w:val="24"/>
              </w:rPr>
            </w:pPr>
            <w:r w:rsidRPr="00A90AA3">
              <w:rPr>
                <w:rFonts w:ascii="Arial" w:hAnsi="Arial" w:cs="Arial"/>
                <w:szCs w:val="24"/>
              </w:rPr>
              <w:t>Equality Implications – there are no new equality implications arising from this report.</w:t>
            </w:r>
          </w:p>
          <w:p w14:paraId="2CE8608E" w14:textId="25E2D698" w:rsidR="006D0D6A" w:rsidRPr="00A90AA3" w:rsidRDefault="006D0D6A" w:rsidP="006C2604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D0D6A" w:rsidRPr="00A90AA3" w14:paraId="379511D8" w14:textId="77777777" w:rsidTr="006D308B">
        <w:tc>
          <w:tcPr>
            <w:tcW w:w="1134" w:type="dxa"/>
          </w:tcPr>
          <w:p w14:paraId="4D0A9AFC" w14:textId="0FBD17EC" w:rsidR="006D0D6A" w:rsidRPr="00A90AA3" w:rsidRDefault="00D177B6" w:rsidP="00E55373">
            <w:pPr>
              <w:pStyle w:val="NoSpacing"/>
              <w:ind w:left="792" w:hanging="755"/>
            </w:pPr>
            <w:r>
              <w:t>9</w:t>
            </w:r>
            <w:r w:rsidR="00E55373">
              <w:t>.4</w:t>
            </w:r>
          </w:p>
        </w:tc>
        <w:tc>
          <w:tcPr>
            <w:tcW w:w="9140" w:type="dxa"/>
            <w:gridSpan w:val="4"/>
          </w:tcPr>
          <w:p w14:paraId="0C180C77" w14:textId="7BA754C9" w:rsidR="006D0D6A" w:rsidRDefault="006D0D6A" w:rsidP="006D0D6A">
            <w:pPr>
              <w:rPr>
                <w:rFonts w:ascii="Arial" w:hAnsi="Arial" w:cs="Arial"/>
                <w:szCs w:val="24"/>
              </w:rPr>
            </w:pPr>
            <w:r w:rsidRPr="00A90AA3">
              <w:rPr>
                <w:rFonts w:ascii="Arial" w:hAnsi="Arial" w:cs="Arial"/>
                <w:szCs w:val="24"/>
              </w:rPr>
              <w:t xml:space="preserve">Risk Implications – there are no new risk implications arising from this report. </w:t>
            </w:r>
          </w:p>
          <w:p w14:paraId="2AE8947C" w14:textId="7CC1E333" w:rsidR="00695D6E" w:rsidRPr="00A90AA3" w:rsidRDefault="00695D6E" w:rsidP="006D0D6A">
            <w:pPr>
              <w:rPr>
                <w:rFonts w:ascii="Arial" w:hAnsi="Arial" w:cs="Arial"/>
                <w:szCs w:val="24"/>
              </w:rPr>
            </w:pPr>
          </w:p>
        </w:tc>
      </w:tr>
      <w:bookmarkEnd w:id="4"/>
      <w:tr w:rsidR="006D0D6A" w:rsidRPr="00A90AA3" w14:paraId="30BD85CD" w14:textId="77777777" w:rsidTr="006D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32" w:type="dxa"/>
        </w:trPr>
        <w:tc>
          <w:tcPr>
            <w:tcW w:w="9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3731" w14:textId="40A4F8A4" w:rsidR="006D0D6A" w:rsidRPr="00A90AA3" w:rsidRDefault="006D0D6A" w:rsidP="002579EB">
            <w:pPr>
              <w:pStyle w:val="NoSpacing"/>
              <w:rPr>
                <w:b/>
                <w:bCs/>
              </w:rPr>
            </w:pPr>
            <w:r w:rsidRPr="00A90AA3">
              <w:rPr>
                <w:b/>
                <w:bCs/>
              </w:rPr>
              <w:t>Recommendation</w:t>
            </w:r>
          </w:p>
          <w:p w14:paraId="2E46C0A9" w14:textId="77777777" w:rsidR="006D0D6A" w:rsidRPr="00A90AA3" w:rsidRDefault="006D0D6A" w:rsidP="002579EB">
            <w:pPr>
              <w:pStyle w:val="NoSpacing"/>
            </w:pPr>
          </w:p>
          <w:p w14:paraId="0C96F5FE" w14:textId="77777777" w:rsidR="001646D1" w:rsidRDefault="001646D1" w:rsidP="001646D1">
            <w:pPr>
              <w:pStyle w:val="NoSpacing"/>
            </w:pPr>
            <w:r>
              <w:t>It is recommended Directors:</w:t>
            </w:r>
          </w:p>
          <w:p w14:paraId="1667D8C2" w14:textId="77777777" w:rsidR="001646D1" w:rsidRDefault="001646D1" w:rsidP="001646D1">
            <w:pPr>
              <w:pStyle w:val="NoSpacing"/>
            </w:pPr>
          </w:p>
          <w:p w14:paraId="23C529C0" w14:textId="3EC79536" w:rsidR="00684B46" w:rsidRDefault="00684B46" w:rsidP="00684B46">
            <w:pPr>
              <w:pStyle w:val="NoSpacing"/>
              <w:numPr>
                <w:ilvl w:val="0"/>
                <w:numId w:val="26"/>
              </w:numPr>
              <w:jc w:val="both"/>
            </w:pPr>
            <w:r>
              <w:t>note and comment on the standing HR matters for Q1 (April - June 2023); and</w:t>
            </w:r>
          </w:p>
          <w:p w14:paraId="5DDF7AB2" w14:textId="77777777" w:rsidR="00684B46" w:rsidRDefault="00684B46" w:rsidP="00684B46">
            <w:pPr>
              <w:pStyle w:val="NoSpacing"/>
              <w:numPr>
                <w:ilvl w:val="0"/>
                <w:numId w:val="26"/>
              </w:numPr>
              <w:jc w:val="both"/>
            </w:pPr>
            <w:r>
              <w:t>note and comment on the:</w:t>
            </w:r>
          </w:p>
          <w:p w14:paraId="6172F799" w14:textId="77777777" w:rsidR="00684B46" w:rsidRDefault="00684B46" w:rsidP="00684B46">
            <w:pPr>
              <w:pStyle w:val="NoSpacing"/>
              <w:numPr>
                <w:ilvl w:val="0"/>
                <w:numId w:val="25"/>
              </w:numPr>
              <w:jc w:val="both"/>
            </w:pPr>
            <w:r>
              <w:t xml:space="preserve">attendance management </w:t>
            </w:r>
            <w:proofErr w:type="gramStart"/>
            <w:r>
              <w:t>review;</w:t>
            </w:r>
            <w:proofErr w:type="gramEnd"/>
          </w:p>
          <w:p w14:paraId="129188DE" w14:textId="78B19747" w:rsidR="00684B46" w:rsidRDefault="00684B46" w:rsidP="00684B46">
            <w:pPr>
              <w:pStyle w:val="NoSpacing"/>
              <w:numPr>
                <w:ilvl w:val="0"/>
                <w:numId w:val="25"/>
              </w:numPr>
              <w:jc w:val="both"/>
            </w:pPr>
            <w:r>
              <w:t xml:space="preserve">redesign staffing </w:t>
            </w:r>
            <w:proofErr w:type="gramStart"/>
            <w:r>
              <w:t>impact;</w:t>
            </w:r>
            <w:proofErr w:type="gramEnd"/>
            <w:r>
              <w:t xml:space="preserve"> </w:t>
            </w:r>
          </w:p>
          <w:p w14:paraId="743C6FC8" w14:textId="7DA203FB" w:rsidR="00684B46" w:rsidRDefault="00684B46" w:rsidP="00684B46">
            <w:pPr>
              <w:pStyle w:val="NoSpacing"/>
              <w:numPr>
                <w:ilvl w:val="0"/>
                <w:numId w:val="25"/>
              </w:numPr>
              <w:jc w:val="both"/>
            </w:pPr>
            <w:r>
              <w:t>employment of under 16s update</w:t>
            </w:r>
            <w:r w:rsidR="00606915">
              <w:t>; and</w:t>
            </w:r>
          </w:p>
          <w:p w14:paraId="10B86741" w14:textId="7B313643" w:rsidR="00D177B6" w:rsidRDefault="00606915" w:rsidP="00684B46">
            <w:pPr>
              <w:pStyle w:val="NoSpacing"/>
              <w:numPr>
                <w:ilvl w:val="0"/>
                <w:numId w:val="25"/>
              </w:numPr>
              <w:jc w:val="both"/>
            </w:pPr>
            <w:r>
              <w:t>Corporate training update.</w:t>
            </w:r>
          </w:p>
          <w:p w14:paraId="197B7829" w14:textId="50B217EA" w:rsidR="00D43B41" w:rsidRPr="00D43B41" w:rsidRDefault="00D43B41" w:rsidP="001646D1">
            <w:pPr>
              <w:pStyle w:val="NoSpacing"/>
              <w:ind w:left="720"/>
              <w:jc w:val="both"/>
            </w:pPr>
          </w:p>
        </w:tc>
      </w:tr>
    </w:tbl>
    <w:p w14:paraId="5E74F40B" w14:textId="055210F1" w:rsidR="006D0D6A" w:rsidRPr="00A90AA3" w:rsidRDefault="006D0D6A" w:rsidP="002579EB">
      <w:pPr>
        <w:pStyle w:val="NoSpacing"/>
      </w:pPr>
    </w:p>
    <w:p w14:paraId="612F12CE" w14:textId="77777777" w:rsidR="006066A0" w:rsidRPr="00A90AA3" w:rsidRDefault="006066A0" w:rsidP="006066A0">
      <w:pPr>
        <w:pStyle w:val="NoSpacing"/>
      </w:pPr>
      <w:r w:rsidRPr="00A90AA3">
        <w:t>Designation:</w:t>
      </w:r>
      <w:r w:rsidRPr="00A90AA3">
        <w:tab/>
        <w:t>Chief Executive</w:t>
      </w:r>
    </w:p>
    <w:p w14:paraId="65F146DE" w14:textId="77777777" w:rsidR="006066A0" w:rsidRPr="00A90AA3" w:rsidRDefault="006066A0" w:rsidP="006066A0">
      <w:pPr>
        <w:pStyle w:val="NoSpacing"/>
      </w:pPr>
    </w:p>
    <w:p w14:paraId="7438B146" w14:textId="180223C1" w:rsidR="006066A0" w:rsidRDefault="006066A0" w:rsidP="006066A0">
      <w:pPr>
        <w:pStyle w:val="NoSpacing"/>
      </w:pPr>
      <w:r w:rsidRPr="00A90AA3">
        <w:t>Date:</w:t>
      </w:r>
      <w:r w:rsidRPr="00A90AA3">
        <w:tab/>
      </w:r>
      <w:r w:rsidR="000E18CA">
        <w:tab/>
      </w:r>
      <w:r w:rsidR="00DC55B7">
        <w:t>10 August 2023</w:t>
      </w:r>
    </w:p>
    <w:p w14:paraId="7E3D418F" w14:textId="0F090E01" w:rsidR="004757B4" w:rsidRDefault="004757B4" w:rsidP="006066A0">
      <w:pPr>
        <w:pStyle w:val="NoSpacing"/>
      </w:pPr>
    </w:p>
    <w:p w14:paraId="0D6F7FC7" w14:textId="77777777" w:rsidR="00B53EBA" w:rsidRDefault="004757B4" w:rsidP="006066A0">
      <w:pPr>
        <w:pStyle w:val="NoSpacing"/>
      </w:pPr>
      <w:r>
        <w:t>Authors:</w:t>
      </w:r>
      <w:r>
        <w:tab/>
      </w:r>
      <w:r w:rsidR="00B53EBA">
        <w:t>James Martin, Director of Corporate Services</w:t>
      </w:r>
    </w:p>
    <w:p w14:paraId="696AE400" w14:textId="17B7871F" w:rsidR="004757B4" w:rsidRDefault="007247DE" w:rsidP="00B53EBA">
      <w:pPr>
        <w:pStyle w:val="NoSpacing"/>
        <w:ind w:left="720" w:firstLine="720"/>
      </w:pPr>
      <w:r>
        <w:t xml:space="preserve">Morven MacLeod, </w:t>
      </w:r>
      <w:r w:rsidR="005B1556">
        <w:t>Head of HR</w:t>
      </w:r>
    </w:p>
    <w:p w14:paraId="26F3AF1B" w14:textId="6D916F94" w:rsidR="005D68D0" w:rsidRDefault="005D68D0">
      <w:pPr>
        <w:rPr>
          <w:rFonts w:ascii="Arial" w:eastAsiaTheme="minorHAnsi" w:hAnsi="Arial" w:cs="Arial"/>
          <w:szCs w:val="24"/>
          <w:lang w:eastAsia="en-US"/>
        </w:rPr>
      </w:pPr>
      <w:r>
        <w:br w:type="page"/>
      </w:r>
    </w:p>
    <w:p w14:paraId="5E1B618D" w14:textId="00EA2346" w:rsidR="004B7F43" w:rsidRPr="009201D8" w:rsidRDefault="004B7F43" w:rsidP="009201D8">
      <w:pPr>
        <w:jc w:val="right"/>
        <w:rPr>
          <w:rFonts w:ascii="Arial" w:hAnsi="Arial" w:cs="Arial"/>
          <w:b/>
          <w:szCs w:val="24"/>
        </w:rPr>
      </w:pPr>
      <w:r w:rsidRPr="009201D8">
        <w:rPr>
          <w:rFonts w:ascii="Arial" w:hAnsi="Arial" w:cs="Arial"/>
          <w:b/>
          <w:szCs w:val="24"/>
        </w:rPr>
        <w:lastRenderedPageBreak/>
        <w:t>Appendix A</w:t>
      </w:r>
    </w:p>
    <w:p w14:paraId="5B7A5761" w14:textId="77777777" w:rsidR="004B7F43" w:rsidRPr="004B7F43" w:rsidRDefault="004B7F43" w:rsidP="004B7F43">
      <w:pPr>
        <w:pStyle w:val="NoSpacing"/>
      </w:pPr>
    </w:p>
    <w:p w14:paraId="7F77196C" w14:textId="51E94677" w:rsidR="004B7F43" w:rsidRPr="00235928" w:rsidRDefault="004B7F43" w:rsidP="004B7F43">
      <w:pPr>
        <w:pStyle w:val="NoSpacing"/>
        <w:rPr>
          <w:b/>
          <w:sz w:val="20"/>
          <w:szCs w:val="20"/>
        </w:rPr>
      </w:pPr>
      <w:r w:rsidRPr="00235928">
        <w:rPr>
          <w:b/>
          <w:sz w:val="20"/>
          <w:szCs w:val="20"/>
        </w:rPr>
        <w:t xml:space="preserve">CHANGES TO STAFFING ESTABLISHMENT IN </w:t>
      </w:r>
      <w:r w:rsidR="00235928">
        <w:rPr>
          <w:b/>
          <w:sz w:val="20"/>
          <w:szCs w:val="20"/>
        </w:rPr>
        <w:t>Q1 (April – June 2023)</w:t>
      </w:r>
    </w:p>
    <w:p w14:paraId="2F0D9D1D" w14:textId="38513C46" w:rsidR="009F421A" w:rsidRDefault="009F421A" w:rsidP="004B7F43">
      <w:pPr>
        <w:pStyle w:val="NoSpacing"/>
        <w:rPr>
          <w:b/>
        </w:rPr>
      </w:pPr>
    </w:p>
    <w:tbl>
      <w:tblPr>
        <w:tblStyle w:val="TableGrid"/>
        <w:tblW w:w="10633" w:type="dxa"/>
        <w:tblInd w:w="-431" w:type="dxa"/>
        <w:tblLook w:val="04A0" w:firstRow="1" w:lastRow="0" w:firstColumn="1" w:lastColumn="0" w:noHBand="0" w:noVBand="1"/>
      </w:tblPr>
      <w:tblGrid>
        <w:gridCol w:w="3403"/>
        <w:gridCol w:w="2835"/>
        <w:gridCol w:w="829"/>
        <w:gridCol w:w="3566"/>
      </w:tblGrid>
      <w:tr w:rsidR="00DF3993" w:rsidRPr="004B7F43" w14:paraId="2F3258F9" w14:textId="77777777" w:rsidTr="00F94B3B">
        <w:trPr>
          <w:trHeight w:val="300"/>
        </w:trPr>
        <w:tc>
          <w:tcPr>
            <w:tcW w:w="3403" w:type="dxa"/>
            <w:noWrap/>
            <w:hideMark/>
          </w:tcPr>
          <w:p w14:paraId="0B330935" w14:textId="77777777" w:rsidR="009F421A" w:rsidRPr="00235928" w:rsidRDefault="009F421A" w:rsidP="000F6E70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235928">
              <w:rPr>
                <w:b/>
                <w:bCs/>
                <w:sz w:val="20"/>
                <w:szCs w:val="20"/>
              </w:rPr>
              <w:t>Post Title</w:t>
            </w:r>
          </w:p>
        </w:tc>
        <w:tc>
          <w:tcPr>
            <w:tcW w:w="2835" w:type="dxa"/>
            <w:noWrap/>
            <w:hideMark/>
          </w:tcPr>
          <w:p w14:paraId="3FF4FD36" w14:textId="77777777" w:rsidR="009F421A" w:rsidRPr="00235928" w:rsidRDefault="009F421A" w:rsidP="000F6E70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235928">
              <w:rPr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829" w:type="dxa"/>
            <w:noWrap/>
            <w:hideMark/>
          </w:tcPr>
          <w:p w14:paraId="34A2DAFB" w14:textId="77777777" w:rsidR="009F421A" w:rsidRPr="00235928" w:rsidRDefault="009F421A" w:rsidP="000F6E70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235928">
              <w:rPr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3566" w:type="dxa"/>
            <w:noWrap/>
            <w:hideMark/>
          </w:tcPr>
          <w:p w14:paraId="66B7AB45" w14:textId="77777777" w:rsidR="009F421A" w:rsidRPr="00235928" w:rsidRDefault="009F421A" w:rsidP="00DF3993">
            <w:pPr>
              <w:pStyle w:val="NoSpacing"/>
              <w:ind w:right="1214"/>
              <w:jc w:val="center"/>
              <w:rPr>
                <w:b/>
                <w:bCs/>
                <w:sz w:val="20"/>
                <w:szCs w:val="20"/>
              </w:rPr>
            </w:pPr>
            <w:r w:rsidRPr="00235928">
              <w:rPr>
                <w:b/>
                <w:bCs/>
                <w:sz w:val="20"/>
                <w:szCs w:val="20"/>
              </w:rPr>
              <w:t>Additional comments</w:t>
            </w:r>
          </w:p>
        </w:tc>
      </w:tr>
      <w:tr w:rsidR="002069A5" w:rsidRPr="00DF3993" w14:paraId="0B577829" w14:textId="77777777" w:rsidTr="00F94B3B">
        <w:trPr>
          <w:trHeight w:val="300"/>
        </w:trPr>
        <w:tc>
          <w:tcPr>
            <w:tcW w:w="3403" w:type="dxa"/>
            <w:noWrap/>
            <w:vAlign w:val="center"/>
          </w:tcPr>
          <w:p w14:paraId="21A09097" w14:textId="778C2A39" w:rsidR="002069A5" w:rsidRPr="00823613" w:rsidRDefault="002069A5" w:rsidP="002069A5">
            <w:pPr>
              <w:rPr>
                <w:rFonts w:ascii="Arial" w:hAnsi="Arial" w:cs="Arial"/>
                <w:color w:val="000000"/>
                <w:sz w:val="20"/>
              </w:rPr>
            </w:pPr>
            <w:r w:rsidRPr="00F315BE">
              <w:rPr>
                <w:rFonts w:ascii="Arial" w:hAnsi="Arial" w:cs="Arial"/>
                <w:color w:val="000000"/>
                <w:sz w:val="20"/>
              </w:rPr>
              <w:t>Youth Development Officer</w:t>
            </w:r>
          </w:p>
        </w:tc>
        <w:tc>
          <w:tcPr>
            <w:tcW w:w="2835" w:type="dxa"/>
            <w:noWrap/>
            <w:vAlign w:val="center"/>
          </w:tcPr>
          <w:p w14:paraId="27D7C766" w14:textId="573CBB61" w:rsidR="002069A5" w:rsidRPr="00823613" w:rsidRDefault="002069A5" w:rsidP="002069A5">
            <w:pPr>
              <w:rPr>
                <w:rFonts w:ascii="Arial" w:hAnsi="Arial" w:cs="Arial"/>
                <w:color w:val="000000"/>
                <w:sz w:val="20"/>
              </w:rPr>
            </w:pPr>
            <w:r w:rsidRPr="00F315BE">
              <w:rPr>
                <w:rFonts w:ascii="Arial" w:hAnsi="Arial" w:cs="Arial"/>
                <w:color w:val="000000"/>
                <w:sz w:val="20"/>
              </w:rPr>
              <w:t>Inverness</w:t>
            </w:r>
          </w:p>
        </w:tc>
        <w:tc>
          <w:tcPr>
            <w:tcW w:w="829" w:type="dxa"/>
            <w:noWrap/>
          </w:tcPr>
          <w:p w14:paraId="1C096607" w14:textId="2704BEB4" w:rsidR="002069A5" w:rsidRPr="00823613" w:rsidRDefault="002069A5" w:rsidP="002069A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23613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3566" w:type="dxa"/>
            <w:noWrap/>
          </w:tcPr>
          <w:p w14:paraId="2F9BE972" w14:textId="78972A7B" w:rsidR="002069A5" w:rsidRPr="00823613" w:rsidRDefault="002069A5" w:rsidP="002069A5">
            <w:pPr>
              <w:rPr>
                <w:rFonts w:ascii="Arial" w:hAnsi="Arial" w:cs="Arial"/>
                <w:color w:val="000000"/>
                <w:sz w:val="20"/>
              </w:rPr>
            </w:pPr>
            <w:r w:rsidRPr="00823613">
              <w:rPr>
                <w:rFonts w:ascii="Arial" w:hAnsi="Arial" w:cs="Arial"/>
                <w:color w:val="000000"/>
                <w:sz w:val="20"/>
              </w:rPr>
              <w:t xml:space="preserve">Fixed </w:t>
            </w:r>
            <w:r w:rsidR="0074330D" w:rsidRPr="00823613">
              <w:rPr>
                <w:rFonts w:ascii="Arial" w:hAnsi="Arial" w:cs="Arial"/>
                <w:color w:val="000000"/>
                <w:sz w:val="20"/>
              </w:rPr>
              <w:t>t</w:t>
            </w:r>
            <w:r w:rsidRPr="00823613">
              <w:rPr>
                <w:rFonts w:ascii="Arial" w:hAnsi="Arial" w:cs="Arial"/>
                <w:color w:val="000000"/>
                <w:sz w:val="20"/>
              </w:rPr>
              <w:t>erm 12 months</w:t>
            </w:r>
          </w:p>
        </w:tc>
      </w:tr>
      <w:tr w:rsidR="002069A5" w:rsidRPr="00DF3993" w14:paraId="794D5C76" w14:textId="77777777" w:rsidTr="00F94B3B">
        <w:trPr>
          <w:trHeight w:val="300"/>
        </w:trPr>
        <w:tc>
          <w:tcPr>
            <w:tcW w:w="3403" w:type="dxa"/>
            <w:noWrap/>
            <w:vAlign w:val="center"/>
          </w:tcPr>
          <w:p w14:paraId="459D31CF" w14:textId="4FED4D95" w:rsidR="002069A5" w:rsidRPr="00823613" w:rsidRDefault="002069A5" w:rsidP="002069A5">
            <w:pPr>
              <w:rPr>
                <w:rFonts w:ascii="Arial" w:hAnsi="Arial" w:cs="Arial"/>
                <w:color w:val="000000"/>
                <w:sz w:val="20"/>
              </w:rPr>
            </w:pPr>
            <w:r w:rsidRPr="00F315BE">
              <w:rPr>
                <w:rFonts w:ascii="Arial" w:hAnsi="Arial" w:cs="Arial"/>
                <w:color w:val="000000"/>
                <w:sz w:val="20"/>
              </w:rPr>
              <w:t>Assistant Youth Worker</w:t>
            </w:r>
          </w:p>
        </w:tc>
        <w:tc>
          <w:tcPr>
            <w:tcW w:w="2835" w:type="dxa"/>
            <w:noWrap/>
            <w:vAlign w:val="center"/>
          </w:tcPr>
          <w:p w14:paraId="3A8CB57B" w14:textId="5DC622B2" w:rsidR="002069A5" w:rsidRPr="00823613" w:rsidRDefault="002069A5" w:rsidP="002069A5">
            <w:pPr>
              <w:rPr>
                <w:rFonts w:ascii="Arial" w:hAnsi="Arial" w:cs="Arial"/>
                <w:color w:val="000000"/>
                <w:sz w:val="20"/>
              </w:rPr>
            </w:pPr>
            <w:r w:rsidRPr="00F315BE">
              <w:rPr>
                <w:rFonts w:ascii="Arial" w:hAnsi="Arial" w:cs="Arial"/>
                <w:color w:val="000000"/>
                <w:sz w:val="20"/>
              </w:rPr>
              <w:t>Inverness (HIS)</w:t>
            </w:r>
          </w:p>
        </w:tc>
        <w:tc>
          <w:tcPr>
            <w:tcW w:w="829" w:type="dxa"/>
            <w:noWrap/>
          </w:tcPr>
          <w:p w14:paraId="3FCEC981" w14:textId="7305A30A" w:rsidR="002069A5" w:rsidRPr="00823613" w:rsidRDefault="002069A5" w:rsidP="002069A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23613">
              <w:rPr>
                <w:rFonts w:ascii="Arial" w:hAnsi="Arial" w:cs="Arial"/>
                <w:color w:val="000000"/>
                <w:sz w:val="20"/>
              </w:rPr>
              <w:t>0.29</w:t>
            </w:r>
          </w:p>
        </w:tc>
        <w:tc>
          <w:tcPr>
            <w:tcW w:w="3566" w:type="dxa"/>
            <w:noWrap/>
          </w:tcPr>
          <w:p w14:paraId="7B154036" w14:textId="3E9FC636" w:rsidR="002069A5" w:rsidRPr="00823613" w:rsidRDefault="002069A5" w:rsidP="002069A5">
            <w:pPr>
              <w:rPr>
                <w:rFonts w:ascii="Arial" w:hAnsi="Arial" w:cs="Arial"/>
                <w:color w:val="000000"/>
                <w:sz w:val="20"/>
              </w:rPr>
            </w:pPr>
            <w:r w:rsidRPr="00823613">
              <w:rPr>
                <w:rFonts w:ascii="Arial" w:hAnsi="Arial" w:cs="Arial"/>
                <w:color w:val="000000"/>
                <w:sz w:val="20"/>
              </w:rPr>
              <w:t xml:space="preserve">Fixed </w:t>
            </w:r>
            <w:r w:rsidR="0074330D" w:rsidRPr="00823613">
              <w:rPr>
                <w:rFonts w:ascii="Arial" w:hAnsi="Arial" w:cs="Arial"/>
                <w:color w:val="000000"/>
                <w:sz w:val="20"/>
              </w:rPr>
              <w:t>t</w:t>
            </w:r>
            <w:r w:rsidRPr="00823613">
              <w:rPr>
                <w:rFonts w:ascii="Arial" w:hAnsi="Arial" w:cs="Arial"/>
                <w:color w:val="000000"/>
                <w:sz w:val="20"/>
              </w:rPr>
              <w:t>erm 12 months</w:t>
            </w:r>
          </w:p>
        </w:tc>
      </w:tr>
      <w:tr w:rsidR="002069A5" w:rsidRPr="00DF3993" w14:paraId="401A2490" w14:textId="77777777" w:rsidTr="00F94B3B">
        <w:trPr>
          <w:trHeight w:val="300"/>
        </w:trPr>
        <w:tc>
          <w:tcPr>
            <w:tcW w:w="3403" w:type="dxa"/>
            <w:noWrap/>
            <w:vAlign w:val="center"/>
          </w:tcPr>
          <w:p w14:paraId="02230FED" w14:textId="152DF124" w:rsidR="002069A5" w:rsidRPr="00823613" w:rsidRDefault="002069A5" w:rsidP="002069A5">
            <w:pPr>
              <w:rPr>
                <w:rFonts w:ascii="Arial" w:hAnsi="Arial" w:cs="Arial"/>
                <w:color w:val="000000"/>
                <w:sz w:val="20"/>
              </w:rPr>
            </w:pPr>
            <w:r w:rsidRPr="00F315BE">
              <w:rPr>
                <w:rFonts w:ascii="Arial" w:hAnsi="Arial" w:cs="Arial"/>
                <w:color w:val="000000"/>
                <w:sz w:val="20"/>
              </w:rPr>
              <w:t>Youth Support Officer</w:t>
            </w:r>
          </w:p>
        </w:tc>
        <w:tc>
          <w:tcPr>
            <w:tcW w:w="2835" w:type="dxa"/>
            <w:noWrap/>
            <w:vAlign w:val="center"/>
          </w:tcPr>
          <w:p w14:paraId="1626B90A" w14:textId="1E88A9D4" w:rsidR="002069A5" w:rsidRPr="00823613" w:rsidRDefault="002069A5" w:rsidP="002069A5">
            <w:pPr>
              <w:rPr>
                <w:rFonts w:ascii="Arial" w:hAnsi="Arial" w:cs="Arial"/>
                <w:color w:val="000000"/>
                <w:sz w:val="20"/>
              </w:rPr>
            </w:pPr>
            <w:r w:rsidRPr="00F315BE">
              <w:rPr>
                <w:rFonts w:ascii="Arial" w:hAnsi="Arial" w:cs="Arial"/>
                <w:color w:val="000000"/>
                <w:sz w:val="20"/>
              </w:rPr>
              <w:t>Inverness</w:t>
            </w:r>
          </w:p>
        </w:tc>
        <w:tc>
          <w:tcPr>
            <w:tcW w:w="829" w:type="dxa"/>
            <w:noWrap/>
          </w:tcPr>
          <w:p w14:paraId="661A105B" w14:textId="4B499B81" w:rsidR="002069A5" w:rsidRPr="00823613" w:rsidRDefault="002069A5" w:rsidP="002069A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23613">
              <w:rPr>
                <w:rFonts w:ascii="Arial" w:hAnsi="Arial" w:cs="Arial"/>
                <w:color w:val="000000"/>
                <w:sz w:val="20"/>
              </w:rPr>
              <w:t>0.29</w:t>
            </w:r>
          </w:p>
        </w:tc>
        <w:tc>
          <w:tcPr>
            <w:tcW w:w="3566" w:type="dxa"/>
            <w:noWrap/>
          </w:tcPr>
          <w:p w14:paraId="10F2725D" w14:textId="23FACE63" w:rsidR="002069A5" w:rsidRPr="00823613" w:rsidRDefault="008301A9" w:rsidP="002069A5">
            <w:pPr>
              <w:rPr>
                <w:rFonts w:ascii="Arial" w:hAnsi="Arial" w:cs="Arial"/>
                <w:color w:val="000000"/>
                <w:sz w:val="20"/>
              </w:rPr>
            </w:pPr>
            <w:r w:rsidRPr="00823613">
              <w:rPr>
                <w:rFonts w:ascii="Arial" w:hAnsi="Arial" w:cs="Arial"/>
                <w:color w:val="000000"/>
                <w:sz w:val="20"/>
              </w:rPr>
              <w:t>Fixed term 6 months</w:t>
            </w:r>
          </w:p>
        </w:tc>
      </w:tr>
      <w:tr w:rsidR="002069A5" w:rsidRPr="00DF3993" w14:paraId="2333E32E" w14:textId="77777777" w:rsidTr="00F94B3B">
        <w:trPr>
          <w:trHeight w:val="300"/>
        </w:trPr>
        <w:tc>
          <w:tcPr>
            <w:tcW w:w="3403" w:type="dxa"/>
            <w:noWrap/>
          </w:tcPr>
          <w:p w14:paraId="0CCF4B02" w14:textId="7A5B3818" w:rsidR="002069A5" w:rsidRPr="00823613" w:rsidRDefault="008301A9" w:rsidP="002069A5">
            <w:pPr>
              <w:rPr>
                <w:rFonts w:ascii="Arial" w:hAnsi="Arial" w:cs="Arial"/>
                <w:color w:val="000000"/>
                <w:sz w:val="20"/>
              </w:rPr>
            </w:pPr>
            <w:r w:rsidRPr="00823613">
              <w:rPr>
                <w:rFonts w:ascii="Arial" w:hAnsi="Arial" w:cs="Arial"/>
                <w:color w:val="000000"/>
                <w:sz w:val="20"/>
              </w:rPr>
              <w:t>Catering Assistants x 2</w:t>
            </w:r>
          </w:p>
        </w:tc>
        <w:tc>
          <w:tcPr>
            <w:tcW w:w="2835" w:type="dxa"/>
            <w:noWrap/>
          </w:tcPr>
          <w:p w14:paraId="077D5529" w14:textId="2BA18AAD" w:rsidR="002069A5" w:rsidRPr="00823613" w:rsidRDefault="008301A9" w:rsidP="002069A5">
            <w:pPr>
              <w:rPr>
                <w:rFonts w:ascii="Arial" w:hAnsi="Arial" w:cs="Arial"/>
                <w:color w:val="000000"/>
                <w:sz w:val="20"/>
              </w:rPr>
            </w:pPr>
            <w:r w:rsidRPr="00823613">
              <w:rPr>
                <w:rFonts w:ascii="Arial" w:hAnsi="Arial" w:cs="Arial"/>
                <w:color w:val="000000"/>
                <w:sz w:val="20"/>
              </w:rPr>
              <w:t>IBG</w:t>
            </w:r>
          </w:p>
        </w:tc>
        <w:tc>
          <w:tcPr>
            <w:tcW w:w="829" w:type="dxa"/>
            <w:noWrap/>
          </w:tcPr>
          <w:p w14:paraId="6E38B9AB" w14:textId="5B73E433" w:rsidR="002069A5" w:rsidRPr="00823613" w:rsidRDefault="008301A9" w:rsidP="002069A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23613">
              <w:rPr>
                <w:rFonts w:ascii="Arial" w:hAnsi="Arial" w:cs="Arial"/>
                <w:color w:val="000000"/>
                <w:sz w:val="20"/>
              </w:rPr>
              <w:t>0.63</w:t>
            </w:r>
          </w:p>
        </w:tc>
        <w:tc>
          <w:tcPr>
            <w:tcW w:w="3566" w:type="dxa"/>
            <w:noWrap/>
          </w:tcPr>
          <w:p w14:paraId="1137C2AB" w14:textId="77777777" w:rsidR="002069A5" w:rsidRPr="00823613" w:rsidRDefault="002069A5" w:rsidP="002069A5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69A5" w:rsidRPr="00DF3993" w14:paraId="306C8890" w14:textId="77777777" w:rsidTr="00F94B3B">
        <w:trPr>
          <w:trHeight w:val="300"/>
        </w:trPr>
        <w:tc>
          <w:tcPr>
            <w:tcW w:w="3403" w:type="dxa"/>
            <w:noWrap/>
          </w:tcPr>
          <w:p w14:paraId="3A617EEE" w14:textId="691A71EC" w:rsidR="002069A5" w:rsidRPr="00823613" w:rsidRDefault="008301A9" w:rsidP="002069A5">
            <w:pPr>
              <w:rPr>
                <w:rFonts w:ascii="Arial" w:hAnsi="Arial" w:cs="Arial"/>
                <w:color w:val="000000"/>
                <w:sz w:val="20"/>
              </w:rPr>
            </w:pPr>
            <w:bookmarkStart w:id="5" w:name="_Hlk135924538"/>
            <w:r w:rsidRPr="00823613">
              <w:rPr>
                <w:rFonts w:ascii="Arial" w:hAnsi="Arial" w:cs="Arial"/>
                <w:color w:val="000000"/>
                <w:sz w:val="20"/>
              </w:rPr>
              <w:t>Senior Software D</w:t>
            </w:r>
            <w:r w:rsidR="0074330D" w:rsidRPr="00823613">
              <w:rPr>
                <w:rFonts w:ascii="Arial" w:hAnsi="Arial" w:cs="Arial"/>
                <w:color w:val="000000"/>
                <w:sz w:val="20"/>
              </w:rPr>
              <w:t>e</w:t>
            </w:r>
            <w:r w:rsidRPr="00823613">
              <w:rPr>
                <w:rFonts w:ascii="Arial" w:hAnsi="Arial" w:cs="Arial"/>
                <w:color w:val="000000"/>
                <w:sz w:val="20"/>
              </w:rPr>
              <w:t>veloper</w:t>
            </w:r>
          </w:p>
        </w:tc>
        <w:tc>
          <w:tcPr>
            <w:tcW w:w="2835" w:type="dxa"/>
            <w:noWrap/>
          </w:tcPr>
          <w:p w14:paraId="494F56AA" w14:textId="51E6B413" w:rsidR="002069A5" w:rsidRPr="00823613" w:rsidRDefault="008301A9" w:rsidP="002069A5">
            <w:pPr>
              <w:rPr>
                <w:rFonts w:ascii="Arial" w:hAnsi="Arial" w:cs="Arial"/>
                <w:color w:val="000000"/>
                <w:sz w:val="20"/>
              </w:rPr>
            </w:pPr>
            <w:r w:rsidRPr="00823613">
              <w:rPr>
                <w:rFonts w:ascii="Arial" w:hAnsi="Arial" w:cs="Arial"/>
                <w:color w:val="000000"/>
                <w:sz w:val="20"/>
              </w:rPr>
              <w:t>Inverness</w:t>
            </w:r>
          </w:p>
        </w:tc>
        <w:tc>
          <w:tcPr>
            <w:tcW w:w="829" w:type="dxa"/>
            <w:noWrap/>
          </w:tcPr>
          <w:p w14:paraId="03BC884F" w14:textId="0DD994A1" w:rsidR="002069A5" w:rsidRPr="00823613" w:rsidRDefault="0074330D" w:rsidP="002069A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23613">
              <w:rPr>
                <w:rFonts w:ascii="Arial" w:hAnsi="Arial" w:cs="Arial"/>
                <w:color w:val="000000"/>
                <w:sz w:val="20"/>
              </w:rPr>
              <w:t>0.13</w:t>
            </w:r>
          </w:p>
        </w:tc>
        <w:tc>
          <w:tcPr>
            <w:tcW w:w="3566" w:type="dxa"/>
            <w:noWrap/>
          </w:tcPr>
          <w:p w14:paraId="72C5FC4A" w14:textId="6166F552" w:rsidR="002069A5" w:rsidRPr="00823613" w:rsidRDefault="0074330D" w:rsidP="002069A5">
            <w:pPr>
              <w:rPr>
                <w:rFonts w:ascii="Arial" w:hAnsi="Arial" w:cs="Arial"/>
                <w:color w:val="000000"/>
                <w:sz w:val="20"/>
              </w:rPr>
            </w:pPr>
            <w:r w:rsidRPr="00823613">
              <w:rPr>
                <w:rFonts w:ascii="Arial" w:hAnsi="Arial" w:cs="Arial"/>
                <w:color w:val="000000"/>
                <w:sz w:val="20"/>
              </w:rPr>
              <w:t>Fixed term 36 months</w:t>
            </w:r>
          </w:p>
        </w:tc>
      </w:tr>
      <w:tr w:rsidR="002069A5" w:rsidRPr="00DF3993" w14:paraId="23EA3F4E" w14:textId="77777777" w:rsidTr="00F94B3B">
        <w:trPr>
          <w:trHeight w:val="300"/>
        </w:trPr>
        <w:tc>
          <w:tcPr>
            <w:tcW w:w="3403" w:type="dxa"/>
            <w:noWrap/>
          </w:tcPr>
          <w:p w14:paraId="61174844" w14:textId="38B2EA9B" w:rsidR="002069A5" w:rsidRPr="00823613" w:rsidRDefault="0074330D" w:rsidP="002069A5">
            <w:pPr>
              <w:rPr>
                <w:rFonts w:ascii="Arial" w:hAnsi="Arial" w:cs="Arial"/>
                <w:color w:val="000000"/>
                <w:sz w:val="20"/>
              </w:rPr>
            </w:pPr>
            <w:r w:rsidRPr="00823613">
              <w:rPr>
                <w:rFonts w:ascii="Arial" w:hAnsi="Arial" w:cs="Arial"/>
                <w:color w:val="000000"/>
                <w:sz w:val="20"/>
              </w:rPr>
              <w:t>Adult Learning Tutors</w:t>
            </w:r>
            <w:r w:rsidR="00AE38C3" w:rsidRPr="00823613">
              <w:rPr>
                <w:rFonts w:ascii="Arial" w:hAnsi="Arial" w:cs="Arial"/>
                <w:color w:val="000000"/>
                <w:sz w:val="20"/>
              </w:rPr>
              <w:t xml:space="preserve"> (Numeracy)</w:t>
            </w:r>
            <w:r w:rsidR="00905BC6">
              <w:rPr>
                <w:rFonts w:ascii="Arial" w:hAnsi="Arial" w:cs="Arial"/>
                <w:color w:val="000000"/>
                <w:sz w:val="20"/>
              </w:rPr>
              <w:t xml:space="preserve"> x 9</w:t>
            </w:r>
          </w:p>
        </w:tc>
        <w:tc>
          <w:tcPr>
            <w:tcW w:w="2835" w:type="dxa"/>
            <w:noWrap/>
          </w:tcPr>
          <w:p w14:paraId="553C322B" w14:textId="0695EA14" w:rsidR="002069A5" w:rsidRPr="00823613" w:rsidRDefault="00905BC6" w:rsidP="002069A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Dingwall, Inverness, Nairn, Brora</w:t>
            </w:r>
            <w:r w:rsidR="00CC1491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proofErr w:type="spellStart"/>
            <w:r w:rsidR="00CC1491">
              <w:rPr>
                <w:rFonts w:ascii="Arial" w:hAnsi="Arial" w:cs="Arial"/>
                <w:color w:val="000000"/>
                <w:sz w:val="20"/>
              </w:rPr>
              <w:t>Tain</w:t>
            </w:r>
            <w:proofErr w:type="spellEnd"/>
            <w:r w:rsidR="00CC1491">
              <w:rPr>
                <w:rFonts w:ascii="Arial" w:hAnsi="Arial" w:cs="Arial"/>
                <w:color w:val="000000"/>
                <w:sz w:val="20"/>
              </w:rPr>
              <w:t>, Fort William, Portree, Wick</w:t>
            </w:r>
          </w:p>
        </w:tc>
        <w:tc>
          <w:tcPr>
            <w:tcW w:w="829" w:type="dxa"/>
            <w:noWrap/>
          </w:tcPr>
          <w:p w14:paraId="015D70D2" w14:textId="77EE07BC" w:rsidR="002069A5" w:rsidRPr="00823613" w:rsidRDefault="00132568" w:rsidP="002069A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23613">
              <w:rPr>
                <w:rFonts w:ascii="Arial" w:hAnsi="Arial" w:cs="Arial"/>
                <w:color w:val="000000"/>
                <w:sz w:val="20"/>
              </w:rPr>
              <w:t>1.</w:t>
            </w:r>
            <w:r w:rsidR="00AA53A1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3566" w:type="dxa"/>
            <w:noWrap/>
          </w:tcPr>
          <w:p w14:paraId="344FE899" w14:textId="77777777" w:rsidR="00823613" w:rsidRPr="00823613" w:rsidRDefault="00823613" w:rsidP="002069A5">
            <w:pPr>
              <w:rPr>
                <w:rFonts w:ascii="Arial" w:hAnsi="Arial" w:cs="Arial"/>
                <w:color w:val="000000"/>
                <w:sz w:val="20"/>
              </w:rPr>
            </w:pPr>
            <w:r w:rsidRPr="00823613">
              <w:rPr>
                <w:rFonts w:ascii="Arial" w:hAnsi="Arial" w:cs="Arial"/>
                <w:color w:val="000000"/>
                <w:sz w:val="20"/>
              </w:rPr>
              <w:t>Fixed term 27 weeks</w:t>
            </w:r>
          </w:p>
          <w:p w14:paraId="78BDC98E" w14:textId="7AE813E3" w:rsidR="002069A5" w:rsidRPr="00823613" w:rsidRDefault="00132568" w:rsidP="002069A5">
            <w:pPr>
              <w:rPr>
                <w:rFonts w:ascii="Arial" w:hAnsi="Arial" w:cs="Arial"/>
                <w:color w:val="000000"/>
                <w:sz w:val="20"/>
              </w:rPr>
            </w:pPr>
            <w:r w:rsidRPr="00823613">
              <w:rPr>
                <w:rFonts w:ascii="Arial" w:hAnsi="Arial" w:cs="Arial"/>
                <w:color w:val="000000"/>
                <w:sz w:val="20"/>
              </w:rPr>
              <w:t>Fully funded</w:t>
            </w:r>
            <w:r w:rsidR="00823613" w:rsidRPr="00823613">
              <w:rPr>
                <w:rFonts w:ascii="Arial" w:hAnsi="Arial" w:cs="Arial"/>
                <w:color w:val="000000"/>
                <w:sz w:val="20"/>
              </w:rPr>
              <w:t xml:space="preserve"> – Highland Multiply Funding</w:t>
            </w:r>
          </w:p>
        </w:tc>
      </w:tr>
      <w:bookmarkEnd w:id="5"/>
      <w:tr w:rsidR="002069A5" w:rsidRPr="00DF3993" w14:paraId="6A608270" w14:textId="77777777" w:rsidTr="00F94B3B">
        <w:trPr>
          <w:trHeight w:val="300"/>
        </w:trPr>
        <w:tc>
          <w:tcPr>
            <w:tcW w:w="3403" w:type="dxa"/>
            <w:noWrap/>
          </w:tcPr>
          <w:p w14:paraId="521255D9" w14:textId="04EE9D4E" w:rsidR="002069A5" w:rsidRPr="00AA53A1" w:rsidRDefault="00A907F2" w:rsidP="002069A5">
            <w:pPr>
              <w:rPr>
                <w:rFonts w:ascii="Arial" w:hAnsi="Arial" w:cs="Arial"/>
                <w:color w:val="000000"/>
                <w:sz w:val="20"/>
              </w:rPr>
            </w:pPr>
            <w:r w:rsidRPr="00AA53A1">
              <w:rPr>
                <w:rFonts w:ascii="Arial" w:hAnsi="Arial" w:cs="Arial"/>
                <w:color w:val="000000"/>
                <w:sz w:val="20"/>
              </w:rPr>
              <w:t>Tutor Coach</w:t>
            </w:r>
          </w:p>
        </w:tc>
        <w:tc>
          <w:tcPr>
            <w:tcW w:w="2835" w:type="dxa"/>
            <w:noWrap/>
          </w:tcPr>
          <w:p w14:paraId="247436FB" w14:textId="67B6A796" w:rsidR="002069A5" w:rsidRPr="00AA53A1" w:rsidRDefault="00A907F2" w:rsidP="002069A5">
            <w:pPr>
              <w:rPr>
                <w:rFonts w:ascii="Arial" w:hAnsi="Arial" w:cs="Arial"/>
                <w:color w:val="000000"/>
                <w:sz w:val="20"/>
              </w:rPr>
            </w:pPr>
            <w:r w:rsidRPr="00AA53A1">
              <w:rPr>
                <w:rFonts w:ascii="Arial" w:hAnsi="Arial" w:cs="Arial"/>
                <w:color w:val="000000"/>
                <w:sz w:val="20"/>
              </w:rPr>
              <w:t>Plockton</w:t>
            </w:r>
          </w:p>
        </w:tc>
        <w:tc>
          <w:tcPr>
            <w:tcW w:w="829" w:type="dxa"/>
            <w:noWrap/>
          </w:tcPr>
          <w:p w14:paraId="196E0A29" w14:textId="575FA52A" w:rsidR="002069A5" w:rsidRPr="00AA53A1" w:rsidRDefault="00A907F2" w:rsidP="002069A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A53A1">
              <w:rPr>
                <w:rFonts w:ascii="Arial" w:hAnsi="Arial" w:cs="Arial"/>
                <w:color w:val="000000"/>
                <w:sz w:val="20"/>
              </w:rPr>
              <w:t>0.28</w:t>
            </w:r>
          </w:p>
        </w:tc>
        <w:tc>
          <w:tcPr>
            <w:tcW w:w="3566" w:type="dxa"/>
            <w:noWrap/>
          </w:tcPr>
          <w:p w14:paraId="392F7856" w14:textId="77777777" w:rsidR="002069A5" w:rsidRPr="00AA53A1" w:rsidRDefault="00A907F2" w:rsidP="002069A5">
            <w:pPr>
              <w:rPr>
                <w:rFonts w:ascii="Arial" w:hAnsi="Arial" w:cs="Arial"/>
                <w:color w:val="000000"/>
                <w:sz w:val="20"/>
              </w:rPr>
            </w:pPr>
            <w:r w:rsidRPr="00AA53A1">
              <w:rPr>
                <w:rFonts w:ascii="Arial" w:hAnsi="Arial" w:cs="Arial"/>
                <w:color w:val="000000"/>
                <w:sz w:val="20"/>
              </w:rPr>
              <w:t>Fixed Term 45 weeks</w:t>
            </w:r>
          </w:p>
          <w:p w14:paraId="2D888B9B" w14:textId="78CD919F" w:rsidR="00AA53A1" w:rsidRPr="00AA53A1" w:rsidRDefault="00AA53A1" w:rsidP="002069A5">
            <w:pPr>
              <w:rPr>
                <w:rFonts w:ascii="Arial" w:hAnsi="Arial" w:cs="Arial"/>
                <w:color w:val="000000"/>
                <w:sz w:val="20"/>
              </w:rPr>
            </w:pPr>
            <w:r w:rsidRPr="00AA53A1">
              <w:rPr>
                <w:rFonts w:ascii="Arial" w:hAnsi="Arial" w:cs="Arial"/>
                <w:color w:val="000000"/>
                <w:sz w:val="20"/>
              </w:rPr>
              <w:t>Fully funded – Highland Cares Fund</w:t>
            </w:r>
          </w:p>
        </w:tc>
      </w:tr>
      <w:tr w:rsidR="002069A5" w:rsidRPr="00DF3993" w14:paraId="5F4FA036" w14:textId="77777777" w:rsidTr="00F94B3B">
        <w:trPr>
          <w:trHeight w:val="300"/>
        </w:trPr>
        <w:tc>
          <w:tcPr>
            <w:tcW w:w="3403" w:type="dxa"/>
            <w:noWrap/>
          </w:tcPr>
          <w:p w14:paraId="5D93CF0C" w14:textId="56E0915D" w:rsidR="002069A5" w:rsidRPr="00AA53A1" w:rsidRDefault="00DF694D" w:rsidP="002069A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Green Health Link Officer</w:t>
            </w:r>
          </w:p>
        </w:tc>
        <w:tc>
          <w:tcPr>
            <w:tcW w:w="2835" w:type="dxa"/>
            <w:noWrap/>
          </w:tcPr>
          <w:p w14:paraId="0A7AE484" w14:textId="4A4D6637" w:rsidR="002069A5" w:rsidRPr="00AA53A1" w:rsidRDefault="00DF694D" w:rsidP="002069A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</w:t>
            </w:r>
            <w:r w:rsidR="00B00FE8">
              <w:rPr>
                <w:rFonts w:ascii="Arial" w:hAnsi="Arial" w:cs="Arial"/>
                <w:color w:val="000000"/>
                <w:sz w:val="20"/>
              </w:rPr>
              <w:t>n</w:t>
            </w:r>
            <w:r>
              <w:rPr>
                <w:rFonts w:ascii="Arial" w:hAnsi="Arial" w:cs="Arial"/>
                <w:color w:val="000000"/>
                <w:sz w:val="20"/>
              </w:rPr>
              <w:t>verness</w:t>
            </w:r>
          </w:p>
        </w:tc>
        <w:tc>
          <w:tcPr>
            <w:tcW w:w="829" w:type="dxa"/>
            <w:noWrap/>
          </w:tcPr>
          <w:p w14:paraId="279D57AC" w14:textId="33550DD4" w:rsidR="002069A5" w:rsidRPr="00AA53A1" w:rsidRDefault="00DF694D" w:rsidP="002069A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0.2</w:t>
            </w:r>
          </w:p>
        </w:tc>
        <w:tc>
          <w:tcPr>
            <w:tcW w:w="3566" w:type="dxa"/>
            <w:noWrap/>
          </w:tcPr>
          <w:p w14:paraId="1D3009BC" w14:textId="77777777" w:rsidR="002069A5" w:rsidRDefault="00DF694D" w:rsidP="002069A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Fixed term </w:t>
            </w:r>
            <w:r w:rsidR="00B00FE8">
              <w:rPr>
                <w:rFonts w:ascii="Arial" w:hAnsi="Arial" w:cs="Arial"/>
                <w:color w:val="000000"/>
                <w:sz w:val="20"/>
              </w:rPr>
              <w:t>4 weeks</w:t>
            </w:r>
          </w:p>
          <w:p w14:paraId="25F55A17" w14:textId="77777777" w:rsidR="00B00FE8" w:rsidRDefault="00B00FE8" w:rsidP="002069A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(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additional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hours for limited period)</w:t>
            </w:r>
          </w:p>
          <w:p w14:paraId="5A393268" w14:textId="706E5B39" w:rsidR="00B00FE8" w:rsidRPr="00AA53A1" w:rsidRDefault="00B00FE8" w:rsidP="002069A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Fully funded - CNPA</w:t>
            </w:r>
          </w:p>
        </w:tc>
      </w:tr>
      <w:tr w:rsidR="002069A5" w:rsidRPr="00DF3993" w14:paraId="41BCB4B2" w14:textId="77777777" w:rsidTr="00F94B3B">
        <w:trPr>
          <w:trHeight w:val="300"/>
        </w:trPr>
        <w:tc>
          <w:tcPr>
            <w:tcW w:w="3403" w:type="dxa"/>
            <w:noWrap/>
          </w:tcPr>
          <w:p w14:paraId="0956ECB5" w14:textId="7F7595D4" w:rsidR="002069A5" w:rsidRPr="00AA53A1" w:rsidRDefault="00567A3A" w:rsidP="002069A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Outdoor Centre Assistant (seasonal)</w:t>
            </w:r>
          </w:p>
        </w:tc>
        <w:tc>
          <w:tcPr>
            <w:tcW w:w="2835" w:type="dxa"/>
            <w:noWrap/>
          </w:tcPr>
          <w:p w14:paraId="66C398AC" w14:textId="55338F86" w:rsidR="002069A5" w:rsidRPr="00AA53A1" w:rsidRDefault="00567A3A" w:rsidP="002069A5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Torrin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Bunkhouse</w:t>
            </w:r>
          </w:p>
        </w:tc>
        <w:tc>
          <w:tcPr>
            <w:tcW w:w="829" w:type="dxa"/>
            <w:noWrap/>
          </w:tcPr>
          <w:p w14:paraId="78C4E2CD" w14:textId="350C7CA3" w:rsidR="002069A5" w:rsidRPr="00AA53A1" w:rsidRDefault="00567A3A" w:rsidP="002069A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0.29</w:t>
            </w:r>
          </w:p>
        </w:tc>
        <w:tc>
          <w:tcPr>
            <w:tcW w:w="3566" w:type="dxa"/>
            <w:noWrap/>
          </w:tcPr>
          <w:p w14:paraId="343DCBB5" w14:textId="79623BFC" w:rsidR="002069A5" w:rsidRPr="00AA53A1" w:rsidRDefault="00567A3A" w:rsidP="002069A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Fixed term </w:t>
            </w:r>
            <w:r w:rsidR="00006B70">
              <w:rPr>
                <w:rFonts w:ascii="Arial" w:hAnsi="Arial" w:cs="Arial"/>
                <w:color w:val="000000"/>
                <w:sz w:val="20"/>
              </w:rPr>
              <w:t>4 months</w:t>
            </w:r>
          </w:p>
        </w:tc>
      </w:tr>
      <w:tr w:rsidR="002069A5" w:rsidRPr="00DF3993" w14:paraId="0BA4A5D0" w14:textId="77777777" w:rsidTr="00F94B3B">
        <w:trPr>
          <w:trHeight w:val="300"/>
        </w:trPr>
        <w:tc>
          <w:tcPr>
            <w:tcW w:w="3403" w:type="dxa"/>
            <w:noWrap/>
          </w:tcPr>
          <w:p w14:paraId="00D75C07" w14:textId="2F72F6D9" w:rsidR="002069A5" w:rsidRPr="00AA53A1" w:rsidRDefault="00006B70" w:rsidP="002069A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Swim Instructors x </w:t>
            </w:r>
            <w:r w:rsidR="00770721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2835" w:type="dxa"/>
            <w:noWrap/>
          </w:tcPr>
          <w:p w14:paraId="60F223DA" w14:textId="207FA1DC" w:rsidR="002069A5" w:rsidRPr="00AA53A1" w:rsidRDefault="00770721" w:rsidP="002069A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Dingwall Leisure Centre</w:t>
            </w:r>
          </w:p>
        </w:tc>
        <w:tc>
          <w:tcPr>
            <w:tcW w:w="829" w:type="dxa"/>
            <w:noWrap/>
          </w:tcPr>
          <w:p w14:paraId="44563B96" w14:textId="1AE7A236" w:rsidR="002069A5" w:rsidRPr="00AA53A1" w:rsidRDefault="00C13ED1" w:rsidP="002069A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1.04</w:t>
            </w:r>
          </w:p>
        </w:tc>
        <w:tc>
          <w:tcPr>
            <w:tcW w:w="3566" w:type="dxa"/>
            <w:noWrap/>
          </w:tcPr>
          <w:p w14:paraId="3B38C32F" w14:textId="2DA6763C" w:rsidR="002069A5" w:rsidRPr="00AA53A1" w:rsidRDefault="00C13ED1" w:rsidP="002069A5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Fixed term 12 months</w:t>
            </w:r>
          </w:p>
        </w:tc>
      </w:tr>
      <w:tr w:rsidR="002069A5" w:rsidRPr="009F421A" w14:paraId="69828E73" w14:textId="77777777" w:rsidTr="00F94B3B">
        <w:trPr>
          <w:trHeight w:val="300"/>
        </w:trPr>
        <w:tc>
          <w:tcPr>
            <w:tcW w:w="3403" w:type="dxa"/>
            <w:noWrap/>
          </w:tcPr>
          <w:p w14:paraId="15554921" w14:textId="7C3A8EE6" w:rsidR="002069A5" w:rsidRPr="001724A8" w:rsidRDefault="00C13ED1" w:rsidP="002069A5">
            <w:pPr>
              <w:pStyle w:val="NoSpacing"/>
              <w:rPr>
                <w:bCs/>
                <w:sz w:val="20"/>
                <w:szCs w:val="20"/>
              </w:rPr>
            </w:pPr>
            <w:r w:rsidRPr="001724A8">
              <w:rPr>
                <w:bCs/>
                <w:sz w:val="20"/>
                <w:szCs w:val="20"/>
              </w:rPr>
              <w:t>Swim Team Leader</w:t>
            </w:r>
          </w:p>
        </w:tc>
        <w:tc>
          <w:tcPr>
            <w:tcW w:w="2835" w:type="dxa"/>
            <w:noWrap/>
          </w:tcPr>
          <w:p w14:paraId="03E338B4" w14:textId="5C8E70F3" w:rsidR="002069A5" w:rsidRPr="001724A8" w:rsidRDefault="00C13ED1" w:rsidP="002069A5">
            <w:pPr>
              <w:pStyle w:val="NoSpacing"/>
              <w:rPr>
                <w:bCs/>
                <w:sz w:val="20"/>
                <w:szCs w:val="20"/>
              </w:rPr>
            </w:pPr>
            <w:r w:rsidRPr="001724A8">
              <w:rPr>
                <w:bCs/>
                <w:sz w:val="20"/>
                <w:szCs w:val="20"/>
              </w:rPr>
              <w:t>Dingwall Leisure Centre</w:t>
            </w:r>
          </w:p>
        </w:tc>
        <w:tc>
          <w:tcPr>
            <w:tcW w:w="829" w:type="dxa"/>
            <w:noWrap/>
          </w:tcPr>
          <w:p w14:paraId="3F031055" w14:textId="515360CB" w:rsidR="002069A5" w:rsidRPr="001724A8" w:rsidRDefault="00C13ED1" w:rsidP="002069A5">
            <w:pPr>
              <w:pStyle w:val="NoSpacing"/>
              <w:rPr>
                <w:bCs/>
                <w:sz w:val="20"/>
                <w:szCs w:val="20"/>
              </w:rPr>
            </w:pPr>
            <w:r w:rsidRPr="001724A8">
              <w:rPr>
                <w:bCs/>
                <w:sz w:val="20"/>
                <w:szCs w:val="20"/>
              </w:rPr>
              <w:t>0.26</w:t>
            </w:r>
          </w:p>
        </w:tc>
        <w:tc>
          <w:tcPr>
            <w:tcW w:w="3566" w:type="dxa"/>
            <w:noWrap/>
          </w:tcPr>
          <w:p w14:paraId="73965688" w14:textId="42FBC4E8" w:rsidR="002069A5" w:rsidRPr="001724A8" w:rsidRDefault="00C13ED1" w:rsidP="002069A5">
            <w:pPr>
              <w:pStyle w:val="NoSpacing"/>
              <w:rPr>
                <w:bCs/>
                <w:sz w:val="20"/>
                <w:szCs w:val="20"/>
              </w:rPr>
            </w:pPr>
            <w:r w:rsidRPr="001724A8">
              <w:rPr>
                <w:bCs/>
                <w:sz w:val="20"/>
                <w:szCs w:val="20"/>
              </w:rPr>
              <w:t>Fixed Term 12 months</w:t>
            </w:r>
          </w:p>
        </w:tc>
      </w:tr>
      <w:tr w:rsidR="00C13ED1" w:rsidRPr="009F421A" w14:paraId="7393F8F2" w14:textId="77777777" w:rsidTr="00F94B3B">
        <w:trPr>
          <w:trHeight w:val="300"/>
        </w:trPr>
        <w:tc>
          <w:tcPr>
            <w:tcW w:w="3403" w:type="dxa"/>
            <w:noWrap/>
          </w:tcPr>
          <w:p w14:paraId="765B87D9" w14:textId="5E453465" w:rsidR="00C13ED1" w:rsidRPr="001724A8" w:rsidRDefault="00C13ED1" w:rsidP="002069A5">
            <w:pPr>
              <w:pStyle w:val="NoSpacing"/>
              <w:rPr>
                <w:bCs/>
                <w:sz w:val="20"/>
                <w:szCs w:val="20"/>
              </w:rPr>
            </w:pPr>
            <w:r w:rsidRPr="001724A8">
              <w:rPr>
                <w:bCs/>
                <w:sz w:val="20"/>
                <w:szCs w:val="20"/>
              </w:rPr>
              <w:t>Caretaker Steward</w:t>
            </w:r>
          </w:p>
        </w:tc>
        <w:tc>
          <w:tcPr>
            <w:tcW w:w="2835" w:type="dxa"/>
            <w:noWrap/>
          </w:tcPr>
          <w:p w14:paraId="30778E3D" w14:textId="7D548BE0" w:rsidR="00C13ED1" w:rsidRPr="001724A8" w:rsidRDefault="00C13ED1" w:rsidP="002069A5">
            <w:pPr>
              <w:pStyle w:val="NoSpacing"/>
              <w:rPr>
                <w:bCs/>
                <w:sz w:val="20"/>
                <w:szCs w:val="20"/>
              </w:rPr>
            </w:pPr>
            <w:r w:rsidRPr="001724A8">
              <w:rPr>
                <w:bCs/>
                <w:sz w:val="20"/>
                <w:szCs w:val="20"/>
              </w:rPr>
              <w:t>Hilton Community Centre</w:t>
            </w:r>
          </w:p>
        </w:tc>
        <w:tc>
          <w:tcPr>
            <w:tcW w:w="829" w:type="dxa"/>
            <w:noWrap/>
          </w:tcPr>
          <w:p w14:paraId="75987E1E" w14:textId="6B6D84DF" w:rsidR="00C13ED1" w:rsidRPr="001724A8" w:rsidRDefault="00C13ED1" w:rsidP="002069A5">
            <w:pPr>
              <w:pStyle w:val="NoSpacing"/>
              <w:rPr>
                <w:bCs/>
                <w:sz w:val="20"/>
                <w:szCs w:val="20"/>
              </w:rPr>
            </w:pPr>
            <w:r w:rsidRPr="001724A8">
              <w:rPr>
                <w:bCs/>
                <w:sz w:val="20"/>
                <w:szCs w:val="20"/>
              </w:rPr>
              <w:t>-0.3</w:t>
            </w:r>
          </w:p>
        </w:tc>
        <w:tc>
          <w:tcPr>
            <w:tcW w:w="3566" w:type="dxa"/>
            <w:noWrap/>
          </w:tcPr>
          <w:p w14:paraId="762B3B6F" w14:textId="77777777" w:rsidR="00C13ED1" w:rsidRPr="001724A8" w:rsidRDefault="00C13ED1" w:rsidP="002069A5">
            <w:pPr>
              <w:pStyle w:val="NoSpacing"/>
              <w:rPr>
                <w:bCs/>
                <w:sz w:val="20"/>
                <w:szCs w:val="20"/>
              </w:rPr>
            </w:pPr>
          </w:p>
        </w:tc>
      </w:tr>
      <w:tr w:rsidR="00C13ED1" w:rsidRPr="009F421A" w14:paraId="0C3F71B4" w14:textId="77777777" w:rsidTr="00F94B3B">
        <w:trPr>
          <w:trHeight w:val="300"/>
        </w:trPr>
        <w:tc>
          <w:tcPr>
            <w:tcW w:w="3403" w:type="dxa"/>
            <w:noWrap/>
          </w:tcPr>
          <w:p w14:paraId="7F0E362A" w14:textId="20A5E0E4" w:rsidR="00C13ED1" w:rsidRPr="001724A8" w:rsidRDefault="00BB1F93" w:rsidP="002069A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Adult Learning Tutor (ESOL – Ukraine)</w:t>
            </w:r>
          </w:p>
        </w:tc>
        <w:tc>
          <w:tcPr>
            <w:tcW w:w="2835" w:type="dxa"/>
            <w:noWrap/>
          </w:tcPr>
          <w:p w14:paraId="5F40D694" w14:textId="3BE40E2E" w:rsidR="00C13ED1" w:rsidRPr="001724A8" w:rsidRDefault="00BB1F93" w:rsidP="002069A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Inverness</w:t>
            </w:r>
          </w:p>
        </w:tc>
        <w:tc>
          <w:tcPr>
            <w:tcW w:w="829" w:type="dxa"/>
            <w:noWrap/>
          </w:tcPr>
          <w:p w14:paraId="5574C634" w14:textId="70DFDB37" w:rsidR="00C13ED1" w:rsidRPr="001724A8" w:rsidRDefault="00BB1F93" w:rsidP="002069A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0.4</w:t>
            </w:r>
          </w:p>
        </w:tc>
        <w:tc>
          <w:tcPr>
            <w:tcW w:w="3566" w:type="dxa"/>
            <w:noWrap/>
          </w:tcPr>
          <w:p w14:paraId="7BE49BF1" w14:textId="3C281418" w:rsidR="00C13ED1" w:rsidRPr="001724A8" w:rsidRDefault="00BB1F93" w:rsidP="002069A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Fully funded</w:t>
            </w:r>
            <w:r w:rsidR="002A037F">
              <w:rPr>
                <w:bCs/>
                <w:sz w:val="20"/>
                <w:szCs w:val="20"/>
              </w:rPr>
              <w:t xml:space="preserve"> </w:t>
            </w:r>
            <w:r w:rsidR="00995899">
              <w:rPr>
                <w:bCs/>
                <w:sz w:val="20"/>
                <w:szCs w:val="20"/>
              </w:rPr>
              <w:t xml:space="preserve">- </w:t>
            </w:r>
            <w:r w:rsidR="002A037F">
              <w:rPr>
                <w:bCs/>
                <w:sz w:val="20"/>
                <w:szCs w:val="20"/>
              </w:rPr>
              <w:t>UK Home Office</w:t>
            </w:r>
          </w:p>
        </w:tc>
      </w:tr>
      <w:tr w:rsidR="00C13ED1" w:rsidRPr="009F421A" w14:paraId="6207F44A" w14:textId="77777777" w:rsidTr="00F94B3B">
        <w:trPr>
          <w:trHeight w:val="300"/>
        </w:trPr>
        <w:tc>
          <w:tcPr>
            <w:tcW w:w="3403" w:type="dxa"/>
            <w:noWrap/>
          </w:tcPr>
          <w:p w14:paraId="651D76DF" w14:textId="2846059C" w:rsidR="00C13ED1" w:rsidRPr="001724A8" w:rsidRDefault="002A037F" w:rsidP="002069A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Adult Learning Tutor</w:t>
            </w:r>
          </w:p>
        </w:tc>
        <w:tc>
          <w:tcPr>
            <w:tcW w:w="2835" w:type="dxa"/>
            <w:noWrap/>
          </w:tcPr>
          <w:p w14:paraId="36664445" w14:textId="48C3AABC" w:rsidR="00C13ED1" w:rsidRPr="001724A8" w:rsidRDefault="002A037F" w:rsidP="002069A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Invergordon</w:t>
            </w:r>
          </w:p>
        </w:tc>
        <w:tc>
          <w:tcPr>
            <w:tcW w:w="829" w:type="dxa"/>
            <w:noWrap/>
          </w:tcPr>
          <w:p w14:paraId="0C55DD31" w14:textId="0E08620E" w:rsidR="00C13ED1" w:rsidRPr="001724A8" w:rsidRDefault="002A037F" w:rsidP="002069A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0.4</w:t>
            </w:r>
          </w:p>
        </w:tc>
        <w:tc>
          <w:tcPr>
            <w:tcW w:w="3566" w:type="dxa"/>
            <w:noWrap/>
          </w:tcPr>
          <w:p w14:paraId="55135746" w14:textId="77777777" w:rsidR="00C13ED1" w:rsidRPr="001724A8" w:rsidRDefault="00C13ED1" w:rsidP="002069A5">
            <w:pPr>
              <w:pStyle w:val="NoSpacing"/>
              <w:rPr>
                <w:bCs/>
                <w:sz w:val="20"/>
                <w:szCs w:val="20"/>
              </w:rPr>
            </w:pPr>
          </w:p>
        </w:tc>
      </w:tr>
      <w:tr w:rsidR="00C13ED1" w:rsidRPr="009F421A" w14:paraId="090A797C" w14:textId="77777777" w:rsidTr="00F94B3B">
        <w:trPr>
          <w:trHeight w:val="300"/>
        </w:trPr>
        <w:tc>
          <w:tcPr>
            <w:tcW w:w="3403" w:type="dxa"/>
            <w:noWrap/>
          </w:tcPr>
          <w:p w14:paraId="4750F95B" w14:textId="5BAB4F91" w:rsidR="00C13ED1" w:rsidRPr="001724A8" w:rsidRDefault="00A72F0A" w:rsidP="002069A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Youth Support Officer</w:t>
            </w:r>
            <w:r w:rsidR="00DC3A6D">
              <w:rPr>
                <w:bCs/>
                <w:sz w:val="20"/>
                <w:szCs w:val="20"/>
              </w:rPr>
              <w:t xml:space="preserve"> x 2</w:t>
            </w:r>
          </w:p>
        </w:tc>
        <w:tc>
          <w:tcPr>
            <w:tcW w:w="2835" w:type="dxa"/>
            <w:noWrap/>
          </w:tcPr>
          <w:p w14:paraId="087B053C" w14:textId="3AF08320" w:rsidR="00C13ED1" w:rsidRPr="001724A8" w:rsidRDefault="00A72F0A" w:rsidP="002069A5">
            <w:pPr>
              <w:pStyle w:val="NoSpacing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Tain</w:t>
            </w:r>
            <w:proofErr w:type="spellEnd"/>
          </w:p>
        </w:tc>
        <w:tc>
          <w:tcPr>
            <w:tcW w:w="829" w:type="dxa"/>
            <w:noWrap/>
          </w:tcPr>
          <w:p w14:paraId="728474DC" w14:textId="625813D3" w:rsidR="00C13ED1" w:rsidRPr="001724A8" w:rsidRDefault="00DC3A6D" w:rsidP="002069A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0.14</w:t>
            </w:r>
          </w:p>
        </w:tc>
        <w:tc>
          <w:tcPr>
            <w:tcW w:w="3566" w:type="dxa"/>
            <w:noWrap/>
          </w:tcPr>
          <w:p w14:paraId="5E840040" w14:textId="77777777" w:rsidR="00C13ED1" w:rsidRPr="001724A8" w:rsidRDefault="00C13ED1" w:rsidP="002069A5">
            <w:pPr>
              <w:pStyle w:val="NoSpacing"/>
              <w:rPr>
                <w:bCs/>
                <w:sz w:val="20"/>
                <w:szCs w:val="20"/>
              </w:rPr>
            </w:pPr>
          </w:p>
        </w:tc>
      </w:tr>
      <w:tr w:rsidR="00C13ED1" w:rsidRPr="009F421A" w14:paraId="462A7A40" w14:textId="77777777" w:rsidTr="00F94B3B">
        <w:trPr>
          <w:trHeight w:val="300"/>
        </w:trPr>
        <w:tc>
          <w:tcPr>
            <w:tcW w:w="3403" w:type="dxa"/>
            <w:noWrap/>
          </w:tcPr>
          <w:p w14:paraId="36B93AB6" w14:textId="61FADADD" w:rsidR="00C13ED1" w:rsidRPr="001724A8" w:rsidRDefault="00DC3A6D" w:rsidP="002069A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Assistant Youth Worker x 2 </w:t>
            </w:r>
          </w:p>
        </w:tc>
        <w:tc>
          <w:tcPr>
            <w:tcW w:w="2835" w:type="dxa"/>
            <w:noWrap/>
          </w:tcPr>
          <w:p w14:paraId="7B0E2511" w14:textId="5AA2FBE7" w:rsidR="00C13ED1" w:rsidRPr="001724A8" w:rsidRDefault="00DC3A6D" w:rsidP="002069A5">
            <w:pPr>
              <w:pStyle w:val="NoSpacing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Tain</w:t>
            </w:r>
            <w:proofErr w:type="spellEnd"/>
          </w:p>
        </w:tc>
        <w:tc>
          <w:tcPr>
            <w:tcW w:w="829" w:type="dxa"/>
            <w:noWrap/>
          </w:tcPr>
          <w:p w14:paraId="68B0EBEB" w14:textId="676110A2" w:rsidR="00C13ED1" w:rsidRPr="001724A8" w:rsidRDefault="00DC3A6D" w:rsidP="002069A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0.14</w:t>
            </w:r>
          </w:p>
        </w:tc>
        <w:tc>
          <w:tcPr>
            <w:tcW w:w="3566" w:type="dxa"/>
            <w:noWrap/>
          </w:tcPr>
          <w:p w14:paraId="66578231" w14:textId="77777777" w:rsidR="00C13ED1" w:rsidRPr="001724A8" w:rsidRDefault="00C13ED1" w:rsidP="002069A5">
            <w:pPr>
              <w:pStyle w:val="NoSpacing"/>
              <w:rPr>
                <w:bCs/>
                <w:sz w:val="20"/>
                <w:szCs w:val="20"/>
              </w:rPr>
            </w:pPr>
          </w:p>
        </w:tc>
      </w:tr>
      <w:tr w:rsidR="00C8729B" w:rsidRPr="009F421A" w14:paraId="055128FC" w14:textId="77777777" w:rsidTr="00F94B3B">
        <w:trPr>
          <w:trHeight w:val="300"/>
        </w:trPr>
        <w:tc>
          <w:tcPr>
            <w:tcW w:w="3403" w:type="dxa"/>
            <w:noWrap/>
          </w:tcPr>
          <w:p w14:paraId="094084F7" w14:textId="12ED01C9" w:rsidR="00C8729B" w:rsidRDefault="00C8729B" w:rsidP="002069A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Assistant Youth Worker</w:t>
            </w:r>
            <w:r w:rsidR="00995899">
              <w:rPr>
                <w:bCs/>
                <w:sz w:val="20"/>
                <w:szCs w:val="20"/>
              </w:rPr>
              <w:t xml:space="preserve"> (term time)</w:t>
            </w:r>
          </w:p>
        </w:tc>
        <w:tc>
          <w:tcPr>
            <w:tcW w:w="2835" w:type="dxa"/>
            <w:noWrap/>
          </w:tcPr>
          <w:p w14:paraId="0B39A451" w14:textId="4211CBCB" w:rsidR="00C8729B" w:rsidRDefault="00995899" w:rsidP="002069A5">
            <w:pPr>
              <w:pStyle w:val="NoSpacing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Tain</w:t>
            </w:r>
            <w:proofErr w:type="spellEnd"/>
          </w:p>
        </w:tc>
        <w:tc>
          <w:tcPr>
            <w:tcW w:w="829" w:type="dxa"/>
            <w:noWrap/>
          </w:tcPr>
          <w:p w14:paraId="3D616DD3" w14:textId="75D36C8B" w:rsidR="00C8729B" w:rsidRDefault="00995899" w:rsidP="002069A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0.43</w:t>
            </w:r>
          </w:p>
        </w:tc>
        <w:tc>
          <w:tcPr>
            <w:tcW w:w="3566" w:type="dxa"/>
            <w:noWrap/>
          </w:tcPr>
          <w:p w14:paraId="5DBF0C8B" w14:textId="1C8BBCEC" w:rsidR="00C8729B" w:rsidRPr="001724A8" w:rsidRDefault="00995899" w:rsidP="002069A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Fully funded - </w:t>
            </w:r>
            <w:proofErr w:type="spellStart"/>
            <w:r>
              <w:rPr>
                <w:bCs/>
                <w:sz w:val="20"/>
                <w:szCs w:val="20"/>
              </w:rPr>
              <w:t>Tain</w:t>
            </w:r>
            <w:proofErr w:type="spellEnd"/>
            <w:r>
              <w:rPr>
                <w:bCs/>
                <w:sz w:val="20"/>
                <w:szCs w:val="20"/>
              </w:rPr>
              <w:t xml:space="preserve"> Royal Academy</w:t>
            </w:r>
          </w:p>
        </w:tc>
      </w:tr>
      <w:tr w:rsidR="00C13ED1" w:rsidRPr="009F421A" w14:paraId="5037049C" w14:textId="77777777" w:rsidTr="00F94B3B">
        <w:trPr>
          <w:trHeight w:val="300"/>
        </w:trPr>
        <w:tc>
          <w:tcPr>
            <w:tcW w:w="3403" w:type="dxa"/>
            <w:noWrap/>
          </w:tcPr>
          <w:p w14:paraId="6D0B0296" w14:textId="76F9CBD5" w:rsidR="00C13ED1" w:rsidRPr="001724A8" w:rsidRDefault="00DC3A6D" w:rsidP="002069A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Library Assistant</w:t>
            </w:r>
          </w:p>
        </w:tc>
        <w:tc>
          <w:tcPr>
            <w:tcW w:w="2835" w:type="dxa"/>
            <w:noWrap/>
          </w:tcPr>
          <w:p w14:paraId="5A6F2961" w14:textId="2CA4774C" w:rsidR="00C13ED1" w:rsidRPr="001724A8" w:rsidRDefault="00DC3A6D" w:rsidP="002069A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Broadford</w:t>
            </w:r>
          </w:p>
        </w:tc>
        <w:tc>
          <w:tcPr>
            <w:tcW w:w="829" w:type="dxa"/>
            <w:noWrap/>
          </w:tcPr>
          <w:p w14:paraId="759355DC" w14:textId="19F0039E" w:rsidR="00C13ED1" w:rsidRPr="001724A8" w:rsidRDefault="00DC3A6D" w:rsidP="002069A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0.13</w:t>
            </w:r>
          </w:p>
        </w:tc>
        <w:tc>
          <w:tcPr>
            <w:tcW w:w="3566" w:type="dxa"/>
            <w:noWrap/>
          </w:tcPr>
          <w:p w14:paraId="3051E125" w14:textId="77777777" w:rsidR="00C13ED1" w:rsidRPr="001724A8" w:rsidRDefault="00C13ED1" w:rsidP="002069A5">
            <w:pPr>
              <w:pStyle w:val="NoSpacing"/>
              <w:rPr>
                <w:bCs/>
                <w:sz w:val="20"/>
                <w:szCs w:val="20"/>
              </w:rPr>
            </w:pPr>
          </w:p>
        </w:tc>
      </w:tr>
      <w:tr w:rsidR="00C13ED1" w:rsidRPr="009F421A" w14:paraId="4D187498" w14:textId="77777777" w:rsidTr="00F94B3B">
        <w:trPr>
          <w:trHeight w:val="300"/>
        </w:trPr>
        <w:tc>
          <w:tcPr>
            <w:tcW w:w="3403" w:type="dxa"/>
            <w:noWrap/>
          </w:tcPr>
          <w:p w14:paraId="345412B6" w14:textId="60004292" w:rsidR="00C13ED1" w:rsidRPr="001724A8" w:rsidRDefault="00C645A1" w:rsidP="002069A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Leisure Assistant (Wet)</w:t>
            </w:r>
          </w:p>
        </w:tc>
        <w:tc>
          <w:tcPr>
            <w:tcW w:w="2835" w:type="dxa"/>
            <w:noWrap/>
          </w:tcPr>
          <w:p w14:paraId="185EAF94" w14:textId="4F02B980" w:rsidR="00C13ED1" w:rsidRPr="001724A8" w:rsidRDefault="00C645A1" w:rsidP="002069A5">
            <w:pPr>
              <w:pStyle w:val="NoSpacing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Lochbroom</w:t>
            </w:r>
            <w:proofErr w:type="spellEnd"/>
            <w:r>
              <w:rPr>
                <w:bCs/>
                <w:sz w:val="20"/>
                <w:szCs w:val="20"/>
              </w:rPr>
              <w:t xml:space="preserve"> Leisure Centre</w:t>
            </w:r>
          </w:p>
        </w:tc>
        <w:tc>
          <w:tcPr>
            <w:tcW w:w="829" w:type="dxa"/>
            <w:noWrap/>
          </w:tcPr>
          <w:p w14:paraId="038283FB" w14:textId="7476AC57" w:rsidR="00C13ED1" w:rsidRPr="001724A8" w:rsidRDefault="00C645A1" w:rsidP="002069A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-0.59</w:t>
            </w:r>
          </w:p>
        </w:tc>
        <w:tc>
          <w:tcPr>
            <w:tcW w:w="3566" w:type="dxa"/>
            <w:noWrap/>
          </w:tcPr>
          <w:p w14:paraId="410DE509" w14:textId="5EAF68C4" w:rsidR="00C13ED1" w:rsidRPr="001724A8" w:rsidRDefault="00992526" w:rsidP="002069A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Staffing restructure</w:t>
            </w:r>
          </w:p>
        </w:tc>
      </w:tr>
      <w:tr w:rsidR="002F3F75" w:rsidRPr="009F421A" w14:paraId="6C4DEB81" w14:textId="77777777" w:rsidTr="00F94B3B">
        <w:trPr>
          <w:trHeight w:val="300"/>
        </w:trPr>
        <w:tc>
          <w:tcPr>
            <w:tcW w:w="3403" w:type="dxa"/>
            <w:noWrap/>
          </w:tcPr>
          <w:p w14:paraId="6974750F" w14:textId="5A74AE46" w:rsidR="002F3F75" w:rsidRDefault="002F3F75" w:rsidP="002F3F7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High Life Support Assistant</w:t>
            </w:r>
          </w:p>
        </w:tc>
        <w:tc>
          <w:tcPr>
            <w:tcW w:w="2835" w:type="dxa"/>
            <w:noWrap/>
          </w:tcPr>
          <w:p w14:paraId="33BBBC75" w14:textId="494E91EA" w:rsidR="002F3F75" w:rsidRDefault="002F3F75" w:rsidP="002F3F7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Inverness</w:t>
            </w:r>
          </w:p>
        </w:tc>
        <w:tc>
          <w:tcPr>
            <w:tcW w:w="829" w:type="dxa"/>
            <w:noWrap/>
          </w:tcPr>
          <w:p w14:paraId="44399F95" w14:textId="6640A81B" w:rsidR="002F3F75" w:rsidRDefault="002F3F75" w:rsidP="002F3F7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0.77</w:t>
            </w:r>
          </w:p>
        </w:tc>
        <w:tc>
          <w:tcPr>
            <w:tcW w:w="3566" w:type="dxa"/>
            <w:noWrap/>
          </w:tcPr>
          <w:p w14:paraId="71ABF11D" w14:textId="597DF570" w:rsidR="002F3F75" w:rsidRDefault="002F3F75" w:rsidP="002F3F7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Fixed term 6 months</w:t>
            </w:r>
          </w:p>
        </w:tc>
      </w:tr>
      <w:tr w:rsidR="002F3F75" w:rsidRPr="009F421A" w14:paraId="463F6666" w14:textId="77777777" w:rsidTr="00F94B3B">
        <w:trPr>
          <w:trHeight w:val="300"/>
        </w:trPr>
        <w:tc>
          <w:tcPr>
            <w:tcW w:w="3403" w:type="dxa"/>
            <w:noWrap/>
          </w:tcPr>
          <w:p w14:paraId="77992F93" w14:textId="06562371" w:rsidR="002F3F75" w:rsidRPr="001724A8" w:rsidRDefault="002F3F75" w:rsidP="002F3F7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Clerical Assistant</w:t>
            </w:r>
          </w:p>
        </w:tc>
        <w:tc>
          <w:tcPr>
            <w:tcW w:w="2835" w:type="dxa"/>
            <w:noWrap/>
          </w:tcPr>
          <w:p w14:paraId="4AC319C8" w14:textId="5B73E8B6" w:rsidR="002F3F75" w:rsidRPr="001724A8" w:rsidRDefault="002F3F75" w:rsidP="002F3F7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ECCF</w:t>
            </w:r>
          </w:p>
        </w:tc>
        <w:tc>
          <w:tcPr>
            <w:tcW w:w="829" w:type="dxa"/>
            <w:noWrap/>
          </w:tcPr>
          <w:p w14:paraId="39C0DF67" w14:textId="5A616B67" w:rsidR="002F3F75" w:rsidRPr="001724A8" w:rsidRDefault="002F3F75" w:rsidP="002F3F7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-0.5</w:t>
            </w:r>
          </w:p>
        </w:tc>
        <w:tc>
          <w:tcPr>
            <w:tcW w:w="3566" w:type="dxa"/>
            <w:noWrap/>
          </w:tcPr>
          <w:p w14:paraId="374752C7" w14:textId="4AEFEF51" w:rsidR="002F3F75" w:rsidRPr="001724A8" w:rsidRDefault="00992526" w:rsidP="002F3F7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Staffing restructure</w:t>
            </w:r>
          </w:p>
        </w:tc>
      </w:tr>
      <w:tr w:rsidR="00992526" w:rsidRPr="009F421A" w14:paraId="7DE77770" w14:textId="77777777" w:rsidTr="00F94B3B">
        <w:trPr>
          <w:trHeight w:val="300"/>
        </w:trPr>
        <w:tc>
          <w:tcPr>
            <w:tcW w:w="3403" w:type="dxa"/>
            <w:noWrap/>
          </w:tcPr>
          <w:p w14:paraId="0A166822" w14:textId="1EEB0A69" w:rsidR="00992526" w:rsidRPr="001724A8" w:rsidRDefault="00992526" w:rsidP="00992526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Clerical Assistant</w:t>
            </w:r>
          </w:p>
        </w:tc>
        <w:tc>
          <w:tcPr>
            <w:tcW w:w="2835" w:type="dxa"/>
            <w:noWrap/>
          </w:tcPr>
          <w:p w14:paraId="18A59122" w14:textId="37A553AF" w:rsidR="00992526" w:rsidRPr="001724A8" w:rsidRDefault="00992526" w:rsidP="00992526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IBG</w:t>
            </w:r>
          </w:p>
        </w:tc>
        <w:tc>
          <w:tcPr>
            <w:tcW w:w="829" w:type="dxa"/>
            <w:noWrap/>
          </w:tcPr>
          <w:p w14:paraId="22BD8258" w14:textId="692E071C" w:rsidR="00992526" w:rsidRPr="001724A8" w:rsidRDefault="00992526" w:rsidP="00992526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-0.14</w:t>
            </w:r>
          </w:p>
        </w:tc>
        <w:tc>
          <w:tcPr>
            <w:tcW w:w="3566" w:type="dxa"/>
            <w:noWrap/>
          </w:tcPr>
          <w:p w14:paraId="5B3E3E43" w14:textId="36A9C604" w:rsidR="00992526" w:rsidRPr="001724A8" w:rsidRDefault="00992526" w:rsidP="00992526">
            <w:pPr>
              <w:pStyle w:val="NoSpacing"/>
              <w:rPr>
                <w:bCs/>
                <w:sz w:val="20"/>
                <w:szCs w:val="20"/>
              </w:rPr>
            </w:pPr>
            <w:r w:rsidRPr="00E63225">
              <w:rPr>
                <w:bCs/>
                <w:sz w:val="20"/>
                <w:szCs w:val="20"/>
              </w:rPr>
              <w:t>Staffing restructure</w:t>
            </w:r>
          </w:p>
        </w:tc>
      </w:tr>
      <w:tr w:rsidR="00992526" w:rsidRPr="009F421A" w14:paraId="15B049F4" w14:textId="77777777" w:rsidTr="00F94B3B">
        <w:trPr>
          <w:trHeight w:val="300"/>
        </w:trPr>
        <w:tc>
          <w:tcPr>
            <w:tcW w:w="3403" w:type="dxa"/>
            <w:noWrap/>
          </w:tcPr>
          <w:p w14:paraId="49D79C3C" w14:textId="3C8B7AE8" w:rsidR="00992526" w:rsidRPr="001724A8" w:rsidRDefault="00992526" w:rsidP="00992526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High Life Support Assistant</w:t>
            </w:r>
          </w:p>
        </w:tc>
        <w:tc>
          <w:tcPr>
            <w:tcW w:w="2835" w:type="dxa"/>
            <w:noWrap/>
          </w:tcPr>
          <w:p w14:paraId="6F917971" w14:textId="7906F426" w:rsidR="00992526" w:rsidRPr="001724A8" w:rsidRDefault="00992526" w:rsidP="00992526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Inverness</w:t>
            </w:r>
          </w:p>
        </w:tc>
        <w:tc>
          <w:tcPr>
            <w:tcW w:w="829" w:type="dxa"/>
            <w:noWrap/>
          </w:tcPr>
          <w:p w14:paraId="3AECE77A" w14:textId="21F0A628" w:rsidR="00992526" w:rsidRPr="001724A8" w:rsidRDefault="00992526" w:rsidP="00992526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-0.2</w:t>
            </w:r>
          </w:p>
        </w:tc>
        <w:tc>
          <w:tcPr>
            <w:tcW w:w="3566" w:type="dxa"/>
            <w:noWrap/>
          </w:tcPr>
          <w:p w14:paraId="2D78FDE0" w14:textId="2A1E4D23" w:rsidR="00992526" w:rsidRPr="001724A8" w:rsidRDefault="00992526" w:rsidP="00992526">
            <w:pPr>
              <w:pStyle w:val="NoSpacing"/>
              <w:rPr>
                <w:bCs/>
                <w:sz w:val="20"/>
                <w:szCs w:val="20"/>
              </w:rPr>
            </w:pPr>
            <w:r w:rsidRPr="00E63225">
              <w:rPr>
                <w:bCs/>
                <w:sz w:val="20"/>
                <w:szCs w:val="20"/>
              </w:rPr>
              <w:t>Staffing restructure</w:t>
            </w:r>
          </w:p>
        </w:tc>
      </w:tr>
      <w:tr w:rsidR="002F3F75" w:rsidRPr="009F421A" w14:paraId="159AF14F" w14:textId="77777777" w:rsidTr="00F94B3B">
        <w:trPr>
          <w:trHeight w:val="300"/>
        </w:trPr>
        <w:tc>
          <w:tcPr>
            <w:tcW w:w="3403" w:type="dxa"/>
            <w:noWrap/>
          </w:tcPr>
          <w:p w14:paraId="651D619C" w14:textId="326ADC6D" w:rsidR="002F3F75" w:rsidRPr="001724A8" w:rsidRDefault="00A300F5" w:rsidP="002F3F7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Assistant Youth Worker x 2</w:t>
            </w:r>
          </w:p>
        </w:tc>
        <w:tc>
          <w:tcPr>
            <w:tcW w:w="2835" w:type="dxa"/>
            <w:noWrap/>
          </w:tcPr>
          <w:p w14:paraId="33368659" w14:textId="500C30A1" w:rsidR="002F3F75" w:rsidRPr="001724A8" w:rsidRDefault="00A300F5" w:rsidP="002F3F7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Invergordon</w:t>
            </w:r>
          </w:p>
        </w:tc>
        <w:tc>
          <w:tcPr>
            <w:tcW w:w="829" w:type="dxa"/>
            <w:noWrap/>
          </w:tcPr>
          <w:p w14:paraId="4DCCD4A8" w14:textId="678BFC66" w:rsidR="002F3F75" w:rsidRPr="001724A8" w:rsidRDefault="00FD6DC4" w:rsidP="002F3F7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0.34</w:t>
            </w:r>
          </w:p>
        </w:tc>
        <w:tc>
          <w:tcPr>
            <w:tcW w:w="3566" w:type="dxa"/>
            <w:noWrap/>
          </w:tcPr>
          <w:p w14:paraId="46070015" w14:textId="0EE1EBDD" w:rsidR="002F3F75" w:rsidRPr="001724A8" w:rsidRDefault="00FD6DC4" w:rsidP="002F3F7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Fixed term 10 weeks</w:t>
            </w:r>
          </w:p>
        </w:tc>
      </w:tr>
      <w:tr w:rsidR="00FD6DC4" w:rsidRPr="009F421A" w14:paraId="105D664E" w14:textId="77777777" w:rsidTr="00F94B3B">
        <w:trPr>
          <w:trHeight w:val="300"/>
        </w:trPr>
        <w:tc>
          <w:tcPr>
            <w:tcW w:w="3403" w:type="dxa"/>
            <w:noWrap/>
          </w:tcPr>
          <w:p w14:paraId="09496D7E" w14:textId="49A7C30C" w:rsidR="00FD6DC4" w:rsidRDefault="007B25A1" w:rsidP="002F3F7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Tutor Coach (Youth Sport Workers) x 2</w:t>
            </w:r>
          </w:p>
        </w:tc>
        <w:tc>
          <w:tcPr>
            <w:tcW w:w="2835" w:type="dxa"/>
            <w:noWrap/>
          </w:tcPr>
          <w:p w14:paraId="60FA4134" w14:textId="61DBE577" w:rsidR="00FD6DC4" w:rsidRDefault="007B25A1" w:rsidP="002F3F7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Wick &amp; </w:t>
            </w:r>
            <w:proofErr w:type="spellStart"/>
            <w:r>
              <w:rPr>
                <w:bCs/>
                <w:sz w:val="20"/>
                <w:szCs w:val="20"/>
              </w:rPr>
              <w:t>Tain</w:t>
            </w:r>
            <w:proofErr w:type="spellEnd"/>
          </w:p>
        </w:tc>
        <w:tc>
          <w:tcPr>
            <w:tcW w:w="829" w:type="dxa"/>
            <w:noWrap/>
          </w:tcPr>
          <w:p w14:paraId="7BA45E33" w14:textId="46C0B48E" w:rsidR="00FD6DC4" w:rsidRDefault="00B5503B" w:rsidP="002F3F7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0.92</w:t>
            </w:r>
          </w:p>
        </w:tc>
        <w:tc>
          <w:tcPr>
            <w:tcW w:w="3566" w:type="dxa"/>
            <w:noWrap/>
          </w:tcPr>
          <w:p w14:paraId="6BBEC376" w14:textId="2C47EC30" w:rsidR="00FD6DC4" w:rsidRDefault="00B5503B" w:rsidP="002F3F7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Fully funded – Highland Alcohol &amp; Drugs Partnership</w:t>
            </w:r>
          </w:p>
        </w:tc>
      </w:tr>
      <w:tr w:rsidR="00033D17" w:rsidRPr="009F421A" w14:paraId="0733450F" w14:textId="77777777" w:rsidTr="00F94B3B">
        <w:trPr>
          <w:trHeight w:val="300"/>
        </w:trPr>
        <w:tc>
          <w:tcPr>
            <w:tcW w:w="3403" w:type="dxa"/>
            <w:noWrap/>
          </w:tcPr>
          <w:p w14:paraId="4804F098" w14:textId="67AD1ACD" w:rsidR="00033D17" w:rsidRDefault="00033D17" w:rsidP="002F3F7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Senior Adult Learning Co-ordinator</w:t>
            </w:r>
          </w:p>
        </w:tc>
        <w:tc>
          <w:tcPr>
            <w:tcW w:w="2835" w:type="dxa"/>
            <w:noWrap/>
          </w:tcPr>
          <w:p w14:paraId="008EE30B" w14:textId="7DFF6CA7" w:rsidR="00033D17" w:rsidRDefault="00033D17" w:rsidP="002F3F7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Inverness</w:t>
            </w:r>
          </w:p>
        </w:tc>
        <w:tc>
          <w:tcPr>
            <w:tcW w:w="829" w:type="dxa"/>
            <w:noWrap/>
          </w:tcPr>
          <w:p w14:paraId="04A8DF16" w14:textId="4AF838C1" w:rsidR="00033D17" w:rsidRDefault="00033D17" w:rsidP="002F3F7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66" w:type="dxa"/>
            <w:noWrap/>
          </w:tcPr>
          <w:p w14:paraId="5D830A69" w14:textId="77777777" w:rsidR="00033D17" w:rsidRDefault="00033D17" w:rsidP="002F3F75">
            <w:pPr>
              <w:pStyle w:val="NoSpacing"/>
              <w:rPr>
                <w:bCs/>
                <w:sz w:val="20"/>
                <w:szCs w:val="20"/>
              </w:rPr>
            </w:pPr>
          </w:p>
        </w:tc>
      </w:tr>
      <w:tr w:rsidR="005955CD" w:rsidRPr="009F421A" w14:paraId="1917D694" w14:textId="77777777" w:rsidTr="00F94B3B">
        <w:trPr>
          <w:trHeight w:val="300"/>
        </w:trPr>
        <w:tc>
          <w:tcPr>
            <w:tcW w:w="3403" w:type="dxa"/>
            <w:noWrap/>
          </w:tcPr>
          <w:p w14:paraId="31799593" w14:textId="1F9A5B26" w:rsidR="005955CD" w:rsidRDefault="005955CD" w:rsidP="002F3F7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Library Assistant</w:t>
            </w:r>
          </w:p>
        </w:tc>
        <w:tc>
          <w:tcPr>
            <w:tcW w:w="2835" w:type="dxa"/>
            <w:noWrap/>
          </w:tcPr>
          <w:p w14:paraId="206C0803" w14:textId="6B707F9D" w:rsidR="005955CD" w:rsidRDefault="005955CD" w:rsidP="002F3F7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Inverness</w:t>
            </w:r>
          </w:p>
        </w:tc>
        <w:tc>
          <w:tcPr>
            <w:tcW w:w="829" w:type="dxa"/>
            <w:noWrap/>
          </w:tcPr>
          <w:p w14:paraId="6B7C2C3C" w14:textId="4A499B30" w:rsidR="005955CD" w:rsidRDefault="005955CD" w:rsidP="002F3F7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-0.24</w:t>
            </w:r>
          </w:p>
        </w:tc>
        <w:tc>
          <w:tcPr>
            <w:tcW w:w="3566" w:type="dxa"/>
            <w:noWrap/>
          </w:tcPr>
          <w:p w14:paraId="15B9EF23" w14:textId="29FB9D2C" w:rsidR="005955CD" w:rsidRDefault="005955CD" w:rsidP="002F3F7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Staffing restructure</w:t>
            </w:r>
          </w:p>
        </w:tc>
      </w:tr>
      <w:tr w:rsidR="00FD6DC4" w:rsidRPr="009F421A" w14:paraId="05D472E5" w14:textId="77777777" w:rsidTr="00F94B3B">
        <w:trPr>
          <w:trHeight w:val="300"/>
        </w:trPr>
        <w:tc>
          <w:tcPr>
            <w:tcW w:w="3403" w:type="dxa"/>
            <w:noWrap/>
          </w:tcPr>
          <w:p w14:paraId="01E73295" w14:textId="0A32E086" w:rsidR="00FD6DC4" w:rsidRDefault="00B5503B" w:rsidP="002F3F7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Leisure Assistant </w:t>
            </w:r>
          </w:p>
        </w:tc>
        <w:tc>
          <w:tcPr>
            <w:tcW w:w="2835" w:type="dxa"/>
            <w:noWrap/>
          </w:tcPr>
          <w:p w14:paraId="1D8C2B50" w14:textId="7F11DF01" w:rsidR="00FD6DC4" w:rsidRDefault="004944B6" w:rsidP="002F3F75">
            <w:pPr>
              <w:pStyle w:val="NoSpacing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Poolewe</w:t>
            </w:r>
            <w:proofErr w:type="spellEnd"/>
          </w:p>
        </w:tc>
        <w:tc>
          <w:tcPr>
            <w:tcW w:w="829" w:type="dxa"/>
            <w:noWrap/>
          </w:tcPr>
          <w:p w14:paraId="256663D9" w14:textId="1EA79D63" w:rsidR="00FD6DC4" w:rsidRDefault="004944B6" w:rsidP="002F3F7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-0.2</w:t>
            </w:r>
          </w:p>
        </w:tc>
        <w:tc>
          <w:tcPr>
            <w:tcW w:w="3566" w:type="dxa"/>
            <w:noWrap/>
          </w:tcPr>
          <w:p w14:paraId="641146C2" w14:textId="6B5DB7BD" w:rsidR="00FD6DC4" w:rsidRDefault="004944B6" w:rsidP="002F3F7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Staffing restructure</w:t>
            </w:r>
          </w:p>
        </w:tc>
      </w:tr>
      <w:tr w:rsidR="00FD6DC4" w:rsidRPr="009F421A" w14:paraId="2390CBED" w14:textId="77777777" w:rsidTr="00F94B3B">
        <w:trPr>
          <w:trHeight w:val="300"/>
        </w:trPr>
        <w:tc>
          <w:tcPr>
            <w:tcW w:w="3403" w:type="dxa"/>
            <w:noWrap/>
          </w:tcPr>
          <w:p w14:paraId="6C5AC74E" w14:textId="3BD5A3A6" w:rsidR="00FD6DC4" w:rsidRDefault="000C365E" w:rsidP="002F3F7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Leisure Supervisor</w:t>
            </w:r>
          </w:p>
        </w:tc>
        <w:tc>
          <w:tcPr>
            <w:tcW w:w="2835" w:type="dxa"/>
            <w:noWrap/>
          </w:tcPr>
          <w:p w14:paraId="719CDCD1" w14:textId="69F993E6" w:rsidR="00FD6DC4" w:rsidRDefault="000C365E" w:rsidP="002F3F75">
            <w:pPr>
              <w:pStyle w:val="NoSpacing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Poolewe</w:t>
            </w:r>
            <w:proofErr w:type="spellEnd"/>
          </w:p>
        </w:tc>
        <w:tc>
          <w:tcPr>
            <w:tcW w:w="829" w:type="dxa"/>
            <w:noWrap/>
          </w:tcPr>
          <w:p w14:paraId="29D023E8" w14:textId="1D8DD2A4" w:rsidR="00FD6DC4" w:rsidRDefault="000C365E" w:rsidP="002F3F7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-0.31</w:t>
            </w:r>
          </w:p>
        </w:tc>
        <w:tc>
          <w:tcPr>
            <w:tcW w:w="3566" w:type="dxa"/>
            <w:noWrap/>
          </w:tcPr>
          <w:p w14:paraId="30FE3700" w14:textId="0156601A" w:rsidR="00FD6DC4" w:rsidRDefault="000C365E" w:rsidP="002F3F75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Staffing restructure</w:t>
            </w:r>
          </w:p>
        </w:tc>
      </w:tr>
      <w:tr w:rsidR="00295F1D" w:rsidRPr="009F421A" w14:paraId="7A85DE1A" w14:textId="77777777" w:rsidTr="00F94B3B">
        <w:trPr>
          <w:trHeight w:val="300"/>
        </w:trPr>
        <w:tc>
          <w:tcPr>
            <w:tcW w:w="3403" w:type="dxa"/>
            <w:noWrap/>
          </w:tcPr>
          <w:p w14:paraId="66A378C1" w14:textId="623A4907" w:rsidR="00295F1D" w:rsidRDefault="00295F1D" w:rsidP="00295F1D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Leisure Supervisor</w:t>
            </w:r>
          </w:p>
        </w:tc>
        <w:tc>
          <w:tcPr>
            <w:tcW w:w="2835" w:type="dxa"/>
            <w:noWrap/>
          </w:tcPr>
          <w:p w14:paraId="285C6885" w14:textId="6FF79297" w:rsidR="00295F1D" w:rsidRDefault="00295F1D" w:rsidP="00295F1D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North Coast Leisure</w:t>
            </w:r>
          </w:p>
        </w:tc>
        <w:tc>
          <w:tcPr>
            <w:tcW w:w="829" w:type="dxa"/>
            <w:noWrap/>
          </w:tcPr>
          <w:p w14:paraId="7C227913" w14:textId="480A022B" w:rsidR="00295F1D" w:rsidRDefault="00295F1D" w:rsidP="00295F1D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-0.1</w:t>
            </w:r>
          </w:p>
        </w:tc>
        <w:tc>
          <w:tcPr>
            <w:tcW w:w="3566" w:type="dxa"/>
            <w:noWrap/>
          </w:tcPr>
          <w:p w14:paraId="518BC809" w14:textId="4F6DADE6" w:rsidR="00295F1D" w:rsidRDefault="00295F1D" w:rsidP="00295F1D">
            <w:pPr>
              <w:pStyle w:val="NoSpacing"/>
              <w:rPr>
                <w:bCs/>
                <w:sz w:val="20"/>
                <w:szCs w:val="20"/>
              </w:rPr>
            </w:pPr>
            <w:r w:rsidRPr="009D3A97">
              <w:rPr>
                <w:bCs/>
                <w:sz w:val="20"/>
                <w:szCs w:val="20"/>
              </w:rPr>
              <w:t>Staffing restructure</w:t>
            </w:r>
          </w:p>
        </w:tc>
      </w:tr>
      <w:tr w:rsidR="00295F1D" w:rsidRPr="009F421A" w14:paraId="302F23D6" w14:textId="77777777" w:rsidTr="00F94B3B">
        <w:trPr>
          <w:trHeight w:val="300"/>
        </w:trPr>
        <w:tc>
          <w:tcPr>
            <w:tcW w:w="3403" w:type="dxa"/>
            <w:noWrap/>
          </w:tcPr>
          <w:p w14:paraId="3BC7A4B4" w14:textId="49F50047" w:rsidR="00295F1D" w:rsidRDefault="00295F1D" w:rsidP="00295F1D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Leisure Assistant</w:t>
            </w:r>
          </w:p>
        </w:tc>
        <w:tc>
          <w:tcPr>
            <w:tcW w:w="2835" w:type="dxa"/>
            <w:noWrap/>
          </w:tcPr>
          <w:p w14:paraId="7506613C" w14:textId="5A037135" w:rsidR="00295F1D" w:rsidRDefault="00295F1D" w:rsidP="00295F1D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North Coast Leisure</w:t>
            </w:r>
          </w:p>
        </w:tc>
        <w:tc>
          <w:tcPr>
            <w:tcW w:w="829" w:type="dxa"/>
            <w:noWrap/>
          </w:tcPr>
          <w:p w14:paraId="10CD3575" w14:textId="19D28771" w:rsidR="00295F1D" w:rsidRDefault="00295F1D" w:rsidP="00295F1D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-0.24</w:t>
            </w:r>
          </w:p>
        </w:tc>
        <w:tc>
          <w:tcPr>
            <w:tcW w:w="3566" w:type="dxa"/>
            <w:noWrap/>
          </w:tcPr>
          <w:p w14:paraId="2B888A52" w14:textId="3DB53C9A" w:rsidR="00295F1D" w:rsidRDefault="00295F1D" w:rsidP="00295F1D">
            <w:pPr>
              <w:pStyle w:val="NoSpacing"/>
              <w:rPr>
                <w:bCs/>
                <w:sz w:val="20"/>
                <w:szCs w:val="20"/>
              </w:rPr>
            </w:pPr>
            <w:r w:rsidRPr="009D3A97">
              <w:rPr>
                <w:bCs/>
                <w:sz w:val="20"/>
                <w:szCs w:val="20"/>
              </w:rPr>
              <w:t>Staffing restructure</w:t>
            </w:r>
          </w:p>
        </w:tc>
      </w:tr>
      <w:tr w:rsidR="00F94B3B" w:rsidRPr="009F421A" w14:paraId="52EBE0F1" w14:textId="77777777" w:rsidTr="00F94B3B">
        <w:trPr>
          <w:trHeight w:val="300"/>
        </w:trPr>
        <w:tc>
          <w:tcPr>
            <w:tcW w:w="3403" w:type="dxa"/>
            <w:noWrap/>
          </w:tcPr>
          <w:p w14:paraId="1EC4F524" w14:textId="3DFBAFF0" w:rsidR="00F94B3B" w:rsidRDefault="003D2E2F" w:rsidP="00295F1D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Tutor Coach</w:t>
            </w:r>
          </w:p>
        </w:tc>
        <w:tc>
          <w:tcPr>
            <w:tcW w:w="2835" w:type="dxa"/>
            <w:noWrap/>
          </w:tcPr>
          <w:p w14:paraId="04FD392D" w14:textId="58C5C796" w:rsidR="00F94B3B" w:rsidRDefault="003D2E2F" w:rsidP="00295F1D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Inverness Leisure</w:t>
            </w:r>
          </w:p>
        </w:tc>
        <w:tc>
          <w:tcPr>
            <w:tcW w:w="829" w:type="dxa"/>
            <w:noWrap/>
          </w:tcPr>
          <w:p w14:paraId="018737B0" w14:textId="05338A04" w:rsidR="00F94B3B" w:rsidRDefault="003D2E2F" w:rsidP="00295F1D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0.02</w:t>
            </w:r>
          </w:p>
        </w:tc>
        <w:tc>
          <w:tcPr>
            <w:tcW w:w="3566" w:type="dxa"/>
            <w:noWrap/>
          </w:tcPr>
          <w:p w14:paraId="3B70013A" w14:textId="77777777" w:rsidR="00F94B3B" w:rsidRPr="009D3A97" w:rsidRDefault="00F94B3B" w:rsidP="00295F1D">
            <w:pPr>
              <w:pStyle w:val="NoSpacing"/>
              <w:rPr>
                <w:bCs/>
                <w:sz w:val="20"/>
                <w:szCs w:val="20"/>
              </w:rPr>
            </w:pPr>
          </w:p>
        </w:tc>
      </w:tr>
      <w:tr w:rsidR="00F94B3B" w:rsidRPr="009F421A" w14:paraId="0C6FF84E" w14:textId="77777777" w:rsidTr="00F94B3B">
        <w:trPr>
          <w:trHeight w:val="300"/>
        </w:trPr>
        <w:tc>
          <w:tcPr>
            <w:tcW w:w="3403" w:type="dxa"/>
            <w:noWrap/>
          </w:tcPr>
          <w:p w14:paraId="52692CDE" w14:textId="0CD7AF57" w:rsidR="00F94B3B" w:rsidRDefault="003D2E2F" w:rsidP="00295F1D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Youth Support Officer</w:t>
            </w:r>
          </w:p>
        </w:tc>
        <w:tc>
          <w:tcPr>
            <w:tcW w:w="2835" w:type="dxa"/>
            <w:noWrap/>
          </w:tcPr>
          <w:p w14:paraId="27EB2C52" w14:textId="7B5CC3F9" w:rsidR="00F94B3B" w:rsidRDefault="003D2E2F" w:rsidP="00295F1D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Wick</w:t>
            </w:r>
          </w:p>
        </w:tc>
        <w:tc>
          <w:tcPr>
            <w:tcW w:w="829" w:type="dxa"/>
            <w:noWrap/>
          </w:tcPr>
          <w:p w14:paraId="0410204E" w14:textId="3A052C3A" w:rsidR="00F94B3B" w:rsidRDefault="003D2E2F" w:rsidP="00295F1D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0.14</w:t>
            </w:r>
          </w:p>
        </w:tc>
        <w:tc>
          <w:tcPr>
            <w:tcW w:w="3566" w:type="dxa"/>
            <w:noWrap/>
          </w:tcPr>
          <w:p w14:paraId="79B413FE" w14:textId="09373808" w:rsidR="00F94B3B" w:rsidRPr="009D3A97" w:rsidRDefault="003D2E2F" w:rsidP="00295F1D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Fully funded – Gordon Cook Foundation</w:t>
            </w:r>
          </w:p>
        </w:tc>
      </w:tr>
      <w:tr w:rsidR="00F94B3B" w:rsidRPr="009F421A" w14:paraId="1ED6AD21" w14:textId="77777777" w:rsidTr="00F94B3B">
        <w:trPr>
          <w:trHeight w:val="300"/>
        </w:trPr>
        <w:tc>
          <w:tcPr>
            <w:tcW w:w="3403" w:type="dxa"/>
            <w:noWrap/>
          </w:tcPr>
          <w:p w14:paraId="44698F49" w14:textId="7DDE61C7" w:rsidR="00F94B3B" w:rsidRDefault="003D2E2F" w:rsidP="00295F1D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Youth Support Officer x 2</w:t>
            </w:r>
          </w:p>
        </w:tc>
        <w:tc>
          <w:tcPr>
            <w:tcW w:w="2835" w:type="dxa"/>
            <w:noWrap/>
          </w:tcPr>
          <w:p w14:paraId="20AAAB27" w14:textId="742EF97E" w:rsidR="00F94B3B" w:rsidRDefault="003D2E2F" w:rsidP="00295F1D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Culloden</w:t>
            </w:r>
          </w:p>
        </w:tc>
        <w:tc>
          <w:tcPr>
            <w:tcW w:w="829" w:type="dxa"/>
            <w:noWrap/>
          </w:tcPr>
          <w:p w14:paraId="4E74C385" w14:textId="06BBEA66" w:rsidR="00F94B3B" w:rsidRDefault="003D2E2F" w:rsidP="00295F1D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0.</w:t>
            </w:r>
            <w:r w:rsidR="00D06098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3566" w:type="dxa"/>
            <w:noWrap/>
          </w:tcPr>
          <w:p w14:paraId="707DA2AD" w14:textId="5B5905B2" w:rsidR="00F94B3B" w:rsidRPr="009D3A97" w:rsidRDefault="003D2E2F" w:rsidP="00295F1D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Fully funded – Highland Cares</w:t>
            </w:r>
          </w:p>
        </w:tc>
      </w:tr>
      <w:tr w:rsidR="00F94B3B" w:rsidRPr="009F421A" w14:paraId="3B310F51" w14:textId="77777777" w:rsidTr="00F94B3B">
        <w:trPr>
          <w:trHeight w:val="300"/>
        </w:trPr>
        <w:tc>
          <w:tcPr>
            <w:tcW w:w="3403" w:type="dxa"/>
            <w:noWrap/>
          </w:tcPr>
          <w:p w14:paraId="735437A8" w14:textId="656F88B7" w:rsidR="00F94B3B" w:rsidRDefault="00D06098" w:rsidP="00295F1D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Highland Disability Sport Co-ordinator</w:t>
            </w:r>
          </w:p>
        </w:tc>
        <w:tc>
          <w:tcPr>
            <w:tcW w:w="2835" w:type="dxa"/>
            <w:noWrap/>
          </w:tcPr>
          <w:p w14:paraId="00E81AAD" w14:textId="7422A4E9" w:rsidR="00F94B3B" w:rsidRDefault="00C21117" w:rsidP="00295F1D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Culloden</w:t>
            </w:r>
          </w:p>
        </w:tc>
        <w:tc>
          <w:tcPr>
            <w:tcW w:w="829" w:type="dxa"/>
            <w:noWrap/>
          </w:tcPr>
          <w:p w14:paraId="63540F06" w14:textId="0DD9191B" w:rsidR="00F94B3B" w:rsidRDefault="00C21117" w:rsidP="00295F1D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0.43</w:t>
            </w:r>
          </w:p>
        </w:tc>
        <w:tc>
          <w:tcPr>
            <w:tcW w:w="3566" w:type="dxa"/>
            <w:noWrap/>
          </w:tcPr>
          <w:p w14:paraId="2AD15184" w14:textId="203F017E" w:rsidR="00F94B3B" w:rsidRPr="009D3A97" w:rsidRDefault="00C21117" w:rsidP="00295F1D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Fully funded – Highland Disability Sport</w:t>
            </w:r>
          </w:p>
        </w:tc>
      </w:tr>
      <w:tr w:rsidR="00F94B3B" w:rsidRPr="009F421A" w14:paraId="20C6C755" w14:textId="77777777" w:rsidTr="00F94B3B">
        <w:trPr>
          <w:trHeight w:val="300"/>
        </w:trPr>
        <w:tc>
          <w:tcPr>
            <w:tcW w:w="3403" w:type="dxa"/>
            <w:noWrap/>
          </w:tcPr>
          <w:p w14:paraId="68A031C7" w14:textId="77777777" w:rsidR="00F94B3B" w:rsidRDefault="00F94B3B" w:rsidP="00295F1D">
            <w:pPr>
              <w:pStyle w:val="NoSpacing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14:paraId="64A295FA" w14:textId="77777777" w:rsidR="00F94B3B" w:rsidRDefault="00F94B3B" w:rsidP="00295F1D">
            <w:pPr>
              <w:pStyle w:val="NoSpacing"/>
              <w:rPr>
                <w:bCs/>
                <w:sz w:val="20"/>
                <w:szCs w:val="20"/>
              </w:rPr>
            </w:pPr>
          </w:p>
        </w:tc>
        <w:tc>
          <w:tcPr>
            <w:tcW w:w="829" w:type="dxa"/>
            <w:noWrap/>
          </w:tcPr>
          <w:p w14:paraId="4C608D3C" w14:textId="35E7FF6E" w:rsidR="00F94B3B" w:rsidRPr="00242AB9" w:rsidRDefault="00242AB9" w:rsidP="00295F1D">
            <w:pPr>
              <w:pStyle w:val="NoSpacing"/>
              <w:rPr>
                <w:b/>
                <w:sz w:val="20"/>
                <w:szCs w:val="20"/>
              </w:rPr>
            </w:pPr>
            <w:r w:rsidRPr="00242AB9">
              <w:rPr>
                <w:b/>
                <w:sz w:val="20"/>
                <w:szCs w:val="20"/>
              </w:rPr>
              <w:t>8.88</w:t>
            </w:r>
          </w:p>
        </w:tc>
        <w:tc>
          <w:tcPr>
            <w:tcW w:w="3566" w:type="dxa"/>
            <w:noWrap/>
          </w:tcPr>
          <w:p w14:paraId="2F17027A" w14:textId="77777777" w:rsidR="00F94B3B" w:rsidRPr="009D3A97" w:rsidRDefault="00F94B3B" w:rsidP="00295F1D">
            <w:pPr>
              <w:pStyle w:val="NoSpacing"/>
              <w:rPr>
                <w:bCs/>
                <w:sz w:val="20"/>
                <w:szCs w:val="20"/>
              </w:rPr>
            </w:pPr>
          </w:p>
        </w:tc>
      </w:tr>
    </w:tbl>
    <w:p w14:paraId="1FCB87BC" w14:textId="306588A6" w:rsidR="004B7F43" w:rsidRPr="004B7F43" w:rsidRDefault="002E7BD0" w:rsidP="007C65C4">
      <w:pPr>
        <w:pStyle w:val="NoSpacing"/>
        <w:jc w:val="right"/>
        <w:rPr>
          <w:sz w:val="20"/>
          <w:szCs w:val="20"/>
        </w:rPr>
      </w:pPr>
      <w:r w:rsidRPr="0089793E">
        <w:rPr>
          <w:sz w:val="20"/>
          <w:szCs w:val="20"/>
        </w:rPr>
        <w:t>Table 1</w:t>
      </w:r>
    </w:p>
    <w:tbl>
      <w:tblPr>
        <w:tblW w:w="11963" w:type="dxa"/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2116"/>
        <w:gridCol w:w="1569"/>
        <w:gridCol w:w="567"/>
        <w:gridCol w:w="3316"/>
      </w:tblGrid>
      <w:tr w:rsidR="00F315BE" w:rsidRPr="00F315BE" w14:paraId="4F8665B5" w14:textId="77777777" w:rsidTr="003D2E2F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26219" w14:textId="72E1FB29" w:rsidR="00F315BE" w:rsidRPr="00F315BE" w:rsidRDefault="00F315BE" w:rsidP="00F315B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A4B93" w14:textId="008113D1" w:rsidR="00F315BE" w:rsidRPr="00F315BE" w:rsidRDefault="00F315BE" w:rsidP="00F315B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20EDB" w14:textId="25426DF5" w:rsidR="00F315BE" w:rsidRPr="00F315BE" w:rsidRDefault="00F315BE" w:rsidP="00F315B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0DA33" w14:textId="77777777" w:rsidR="00F315BE" w:rsidRPr="00F315BE" w:rsidRDefault="00F315BE" w:rsidP="00F315B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FACEB" w14:textId="77777777" w:rsidR="00F315BE" w:rsidRPr="00F315BE" w:rsidRDefault="00F315BE" w:rsidP="00F315BE">
            <w:pPr>
              <w:jc w:val="center"/>
              <w:rPr>
                <w:sz w:val="20"/>
              </w:rPr>
            </w:pP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99DC4" w14:textId="77777777" w:rsidR="00F315BE" w:rsidRPr="00F315BE" w:rsidRDefault="00F315BE" w:rsidP="00F315BE">
            <w:pPr>
              <w:jc w:val="center"/>
              <w:rPr>
                <w:sz w:val="20"/>
              </w:rPr>
            </w:pPr>
          </w:p>
        </w:tc>
      </w:tr>
    </w:tbl>
    <w:p w14:paraId="2984CB79" w14:textId="330305A0" w:rsidR="00E53486" w:rsidRPr="002F5657" w:rsidRDefault="002F5657" w:rsidP="002F5657">
      <w:pPr>
        <w:pStyle w:val="NoSpacing"/>
        <w:jc w:val="right"/>
        <w:rPr>
          <w:b/>
          <w:bCs/>
        </w:rPr>
      </w:pPr>
      <w:r>
        <w:rPr>
          <w:b/>
          <w:bCs/>
        </w:rPr>
        <w:lastRenderedPageBreak/>
        <w:t>Appendix B</w:t>
      </w:r>
    </w:p>
    <w:p w14:paraId="5F5FE118" w14:textId="7C4B407D" w:rsidR="002F5657" w:rsidRDefault="002F5657" w:rsidP="002579EB">
      <w:pPr>
        <w:pStyle w:val="NoSpacing"/>
      </w:pPr>
    </w:p>
    <w:p w14:paraId="6DF5F564" w14:textId="1855B0F8" w:rsidR="002F5657" w:rsidRDefault="002F5657" w:rsidP="002579EB">
      <w:pPr>
        <w:pStyle w:val="NoSpacing"/>
      </w:pPr>
      <w:r>
        <w:rPr>
          <w:b/>
          <w:bCs/>
        </w:rPr>
        <w:t>Attendance Management Tables</w:t>
      </w:r>
    </w:p>
    <w:p w14:paraId="2A72CE18" w14:textId="11594ACF" w:rsidR="002F5657" w:rsidRDefault="002F5657" w:rsidP="002579EB">
      <w:pPr>
        <w:pStyle w:val="NoSpacing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2013"/>
        <w:gridCol w:w="2011"/>
        <w:gridCol w:w="2011"/>
        <w:gridCol w:w="2010"/>
      </w:tblGrid>
      <w:tr w:rsidR="007A7B37" w:rsidRPr="00792FAC" w14:paraId="090286D8" w14:textId="77777777" w:rsidTr="00E4510B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6131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SHORT-TERM ABSENCE RATES</w:t>
            </w:r>
          </w:p>
        </w:tc>
      </w:tr>
      <w:tr w:rsidR="007A7B37" w:rsidRPr="00792FAC" w14:paraId="12F6C6B7" w14:textId="77777777" w:rsidTr="00E4510B">
        <w:trPr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BD1A1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14:paraId="17A5DA11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8A14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14:paraId="5FDCFB2E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Quarter 1</w:t>
            </w:r>
          </w:p>
          <w:p w14:paraId="3B9CEC5A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(Apr–Jun)</w:t>
            </w:r>
          </w:p>
          <w:p w14:paraId="0E240DF8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%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88B55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14:paraId="4C46041C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Quarter 2</w:t>
            </w:r>
          </w:p>
          <w:p w14:paraId="351883E8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(Jul–Sep)</w:t>
            </w:r>
          </w:p>
          <w:p w14:paraId="08893E0A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%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DC88C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14:paraId="55A35E34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Quarter 3</w:t>
            </w:r>
          </w:p>
          <w:p w14:paraId="7761C555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(Oct–Dec)</w:t>
            </w:r>
          </w:p>
          <w:p w14:paraId="7CDC42EA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%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000B9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14:paraId="00287A79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Quarter 4</w:t>
            </w:r>
          </w:p>
          <w:p w14:paraId="2BEF2F74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(Jan–Mar)</w:t>
            </w:r>
          </w:p>
          <w:p w14:paraId="11FC312A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%</w:t>
            </w:r>
          </w:p>
        </w:tc>
      </w:tr>
      <w:tr w:rsidR="007A7B37" w:rsidRPr="00792FAC" w14:paraId="6C1AC249" w14:textId="77777777" w:rsidTr="00E4510B">
        <w:trPr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1A55D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2021/22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1BCA6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792FAC">
              <w:rPr>
                <w:rFonts w:ascii="Arial" w:eastAsia="Calibri" w:hAnsi="Arial" w:cs="Arial"/>
                <w:szCs w:val="24"/>
              </w:rPr>
              <w:t>0.66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EFA4E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792FAC">
              <w:rPr>
                <w:rFonts w:ascii="Arial" w:eastAsia="Calibri" w:hAnsi="Arial" w:cs="Arial"/>
                <w:szCs w:val="24"/>
              </w:rPr>
              <w:t>0.66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55F8C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792FAC">
              <w:rPr>
                <w:rFonts w:ascii="Arial" w:eastAsia="Calibri" w:hAnsi="Arial" w:cs="Arial"/>
                <w:szCs w:val="24"/>
              </w:rPr>
              <w:t>1.13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F5633" w14:textId="07062F13" w:rsidR="007A7B37" w:rsidRPr="00792FAC" w:rsidRDefault="0099059A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1.62</w:t>
            </w:r>
          </w:p>
        </w:tc>
      </w:tr>
      <w:tr w:rsidR="006B118A" w:rsidRPr="00792FAC" w14:paraId="495A572D" w14:textId="77777777" w:rsidTr="00E4510B">
        <w:trPr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4A0F8" w14:textId="6AEC3C7C" w:rsidR="006B118A" w:rsidRPr="00792FAC" w:rsidRDefault="00CE0B75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Cs w:val="24"/>
              </w:rPr>
              <w:t>2022/23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01493" w14:textId="4F846E5A" w:rsidR="006B118A" w:rsidRPr="00792FAC" w:rsidRDefault="00CE0B75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2.07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21403" w14:textId="086560EC" w:rsidR="006B118A" w:rsidRPr="00792FAC" w:rsidRDefault="00A63E2A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1.63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66AF1" w14:textId="092E0F74" w:rsidR="006B118A" w:rsidRPr="00792FAC" w:rsidRDefault="00FB6807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1.35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6DB3" w14:textId="395A0EAC" w:rsidR="006B118A" w:rsidRDefault="00614641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1.52</w:t>
            </w:r>
          </w:p>
        </w:tc>
      </w:tr>
      <w:tr w:rsidR="0070507B" w:rsidRPr="00792FAC" w14:paraId="3261729B" w14:textId="77777777" w:rsidTr="00E4510B">
        <w:trPr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058EB" w14:textId="67190B50" w:rsidR="0070507B" w:rsidRDefault="0070507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Cs w:val="24"/>
              </w:rPr>
              <w:t>2023/24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0345F" w14:textId="7A46DB9F" w:rsidR="0070507B" w:rsidRDefault="008E5EA6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1.49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5E3E0" w14:textId="77777777" w:rsidR="0070507B" w:rsidRDefault="0070507B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3C72A" w14:textId="77777777" w:rsidR="0070507B" w:rsidRDefault="0070507B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7857" w14:textId="77777777" w:rsidR="0070507B" w:rsidRDefault="0070507B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</w:p>
        </w:tc>
      </w:tr>
    </w:tbl>
    <w:p w14:paraId="2997A3BE" w14:textId="736C3B72" w:rsidR="002F5657" w:rsidRPr="002E7BD0" w:rsidRDefault="002E7BD0" w:rsidP="002E7BD0">
      <w:pPr>
        <w:pStyle w:val="NoSpacing"/>
        <w:jc w:val="right"/>
        <w:rPr>
          <w:sz w:val="20"/>
          <w:szCs w:val="20"/>
        </w:rPr>
      </w:pPr>
      <w:r w:rsidRPr="002E7BD0">
        <w:rPr>
          <w:sz w:val="20"/>
          <w:szCs w:val="20"/>
        </w:rPr>
        <w:t>Table 2</w:t>
      </w:r>
    </w:p>
    <w:p w14:paraId="1A317B07" w14:textId="77777777" w:rsidR="002E7BD0" w:rsidRDefault="002E7BD0" w:rsidP="002E7BD0">
      <w:pPr>
        <w:pStyle w:val="NoSpacing"/>
        <w:jc w:val="right"/>
      </w:pPr>
    </w:p>
    <w:p w14:paraId="5BC645DB" w14:textId="6072CD1B" w:rsidR="007A7B37" w:rsidRDefault="007A7B37" w:rsidP="002579EB">
      <w:pPr>
        <w:pStyle w:val="NoSpacing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2013"/>
        <w:gridCol w:w="2011"/>
        <w:gridCol w:w="2011"/>
        <w:gridCol w:w="2010"/>
      </w:tblGrid>
      <w:tr w:rsidR="0056302B" w:rsidRPr="009C1F2A" w14:paraId="4362F69C" w14:textId="77777777" w:rsidTr="00E4510B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896EE" w14:textId="77777777" w:rsidR="0056302B" w:rsidRPr="009C1F2A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Cs w:val="24"/>
              </w:rPr>
              <w:t>LONG-TERM ABSENCE RATES</w:t>
            </w:r>
          </w:p>
        </w:tc>
      </w:tr>
      <w:tr w:rsidR="0056302B" w:rsidRPr="009C1F2A" w14:paraId="6E6777E9" w14:textId="77777777" w:rsidTr="00E4510B">
        <w:trPr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BA9D2" w14:textId="77777777" w:rsidR="0056302B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14:paraId="5CCEAD63" w14:textId="77777777" w:rsidR="0056302B" w:rsidRPr="009C1F2A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E8F78" w14:textId="77777777" w:rsidR="0056302B" w:rsidRPr="009C1F2A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14:paraId="1832ED00" w14:textId="77777777" w:rsidR="0056302B" w:rsidRPr="009C1F2A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9C1F2A">
              <w:rPr>
                <w:rFonts w:ascii="Arial" w:eastAsia="Calibri" w:hAnsi="Arial" w:cs="Arial"/>
                <w:b/>
                <w:bCs/>
                <w:szCs w:val="24"/>
              </w:rPr>
              <w:t>Quarter 1</w:t>
            </w:r>
          </w:p>
          <w:p w14:paraId="74BADCF5" w14:textId="77777777" w:rsidR="0056302B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Cs w:val="24"/>
              </w:rPr>
              <w:t>(</w:t>
            </w:r>
            <w:r w:rsidRPr="009C1F2A">
              <w:rPr>
                <w:rFonts w:ascii="Arial" w:eastAsia="Calibri" w:hAnsi="Arial" w:cs="Arial"/>
                <w:b/>
                <w:bCs/>
                <w:szCs w:val="24"/>
              </w:rPr>
              <w:t>Apr</w:t>
            </w:r>
            <w:r>
              <w:rPr>
                <w:rFonts w:ascii="Arial" w:eastAsia="Calibri" w:hAnsi="Arial" w:cs="Arial"/>
                <w:b/>
                <w:bCs/>
                <w:szCs w:val="24"/>
              </w:rPr>
              <w:t>–</w:t>
            </w:r>
            <w:r w:rsidRPr="009C1F2A">
              <w:rPr>
                <w:rFonts w:ascii="Arial" w:eastAsia="Calibri" w:hAnsi="Arial" w:cs="Arial"/>
                <w:b/>
                <w:bCs/>
                <w:szCs w:val="24"/>
              </w:rPr>
              <w:t>Jun</w:t>
            </w:r>
            <w:r>
              <w:rPr>
                <w:rFonts w:ascii="Arial" w:eastAsia="Calibri" w:hAnsi="Arial" w:cs="Arial"/>
                <w:b/>
                <w:bCs/>
                <w:szCs w:val="24"/>
              </w:rPr>
              <w:t>)</w:t>
            </w:r>
          </w:p>
          <w:p w14:paraId="3FBB998A" w14:textId="77777777" w:rsidR="0056302B" w:rsidRPr="009C1F2A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Cs w:val="24"/>
              </w:rPr>
              <w:t>%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E2AC3" w14:textId="77777777" w:rsidR="0056302B" w:rsidRPr="009C1F2A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14:paraId="23BB3656" w14:textId="77777777" w:rsidR="0056302B" w:rsidRPr="009C1F2A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9C1F2A">
              <w:rPr>
                <w:rFonts w:ascii="Arial" w:eastAsia="Calibri" w:hAnsi="Arial" w:cs="Arial"/>
                <w:b/>
                <w:bCs/>
                <w:szCs w:val="24"/>
              </w:rPr>
              <w:t>Quarter 2</w:t>
            </w:r>
          </w:p>
          <w:p w14:paraId="60203D42" w14:textId="77777777" w:rsidR="0056302B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Cs w:val="24"/>
              </w:rPr>
              <w:t>(</w:t>
            </w:r>
            <w:r w:rsidRPr="009C1F2A">
              <w:rPr>
                <w:rFonts w:ascii="Arial" w:eastAsia="Calibri" w:hAnsi="Arial" w:cs="Arial"/>
                <w:b/>
                <w:bCs/>
                <w:szCs w:val="24"/>
              </w:rPr>
              <w:t>Jul</w:t>
            </w:r>
            <w:r>
              <w:rPr>
                <w:rFonts w:ascii="Arial" w:eastAsia="Calibri" w:hAnsi="Arial" w:cs="Arial"/>
                <w:b/>
                <w:bCs/>
                <w:szCs w:val="24"/>
              </w:rPr>
              <w:t>–</w:t>
            </w:r>
            <w:r w:rsidRPr="009C1F2A">
              <w:rPr>
                <w:rFonts w:ascii="Arial" w:eastAsia="Calibri" w:hAnsi="Arial" w:cs="Arial"/>
                <w:b/>
                <w:bCs/>
                <w:szCs w:val="24"/>
              </w:rPr>
              <w:t>Sep</w:t>
            </w:r>
            <w:r>
              <w:rPr>
                <w:rFonts w:ascii="Arial" w:eastAsia="Calibri" w:hAnsi="Arial" w:cs="Arial"/>
                <w:b/>
                <w:bCs/>
                <w:szCs w:val="24"/>
              </w:rPr>
              <w:t>)</w:t>
            </w:r>
          </w:p>
          <w:p w14:paraId="4FDAF9C6" w14:textId="77777777" w:rsidR="0056302B" w:rsidRPr="009C1F2A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Cs w:val="24"/>
              </w:rPr>
              <w:t>%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F0E1" w14:textId="77777777" w:rsidR="0056302B" w:rsidRPr="009C1F2A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14:paraId="6BA1BA4F" w14:textId="77777777" w:rsidR="0056302B" w:rsidRPr="009C1F2A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9C1F2A">
              <w:rPr>
                <w:rFonts w:ascii="Arial" w:eastAsia="Calibri" w:hAnsi="Arial" w:cs="Arial"/>
                <w:b/>
                <w:bCs/>
                <w:szCs w:val="24"/>
              </w:rPr>
              <w:t>Quarter 3</w:t>
            </w:r>
          </w:p>
          <w:p w14:paraId="367548FC" w14:textId="77777777" w:rsidR="0056302B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Cs w:val="24"/>
              </w:rPr>
              <w:t>(</w:t>
            </w:r>
            <w:r w:rsidRPr="009C1F2A">
              <w:rPr>
                <w:rFonts w:ascii="Arial" w:eastAsia="Calibri" w:hAnsi="Arial" w:cs="Arial"/>
                <w:b/>
                <w:bCs/>
                <w:szCs w:val="24"/>
              </w:rPr>
              <w:t>Oct</w:t>
            </w:r>
            <w:r>
              <w:rPr>
                <w:rFonts w:ascii="Arial" w:eastAsia="Calibri" w:hAnsi="Arial" w:cs="Arial"/>
                <w:b/>
                <w:bCs/>
                <w:szCs w:val="24"/>
              </w:rPr>
              <w:t>–</w:t>
            </w:r>
            <w:r w:rsidRPr="009C1F2A">
              <w:rPr>
                <w:rFonts w:ascii="Arial" w:eastAsia="Calibri" w:hAnsi="Arial" w:cs="Arial"/>
                <w:b/>
                <w:bCs/>
                <w:szCs w:val="24"/>
              </w:rPr>
              <w:t>Dec</w:t>
            </w:r>
            <w:r>
              <w:rPr>
                <w:rFonts w:ascii="Arial" w:eastAsia="Calibri" w:hAnsi="Arial" w:cs="Arial"/>
                <w:b/>
                <w:bCs/>
                <w:szCs w:val="24"/>
              </w:rPr>
              <w:t>)</w:t>
            </w:r>
          </w:p>
          <w:p w14:paraId="4C7DAEC2" w14:textId="77777777" w:rsidR="0056302B" w:rsidRPr="009C1F2A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Cs w:val="24"/>
              </w:rPr>
              <w:t>%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61FB2" w14:textId="77777777" w:rsidR="0056302B" w:rsidRPr="009C1F2A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14:paraId="5C1AB39F" w14:textId="77777777" w:rsidR="0056302B" w:rsidRPr="009C1F2A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9C1F2A">
              <w:rPr>
                <w:rFonts w:ascii="Arial" w:eastAsia="Calibri" w:hAnsi="Arial" w:cs="Arial"/>
                <w:b/>
                <w:bCs/>
                <w:szCs w:val="24"/>
              </w:rPr>
              <w:t>Quarter 4</w:t>
            </w:r>
          </w:p>
          <w:p w14:paraId="0769D14D" w14:textId="77777777" w:rsidR="0056302B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Cs w:val="24"/>
              </w:rPr>
              <w:t>(</w:t>
            </w:r>
            <w:r w:rsidRPr="009C1F2A">
              <w:rPr>
                <w:rFonts w:ascii="Arial" w:eastAsia="Calibri" w:hAnsi="Arial" w:cs="Arial"/>
                <w:b/>
                <w:bCs/>
                <w:szCs w:val="24"/>
              </w:rPr>
              <w:t>Jan</w:t>
            </w:r>
            <w:r>
              <w:rPr>
                <w:rFonts w:ascii="Arial" w:eastAsia="Calibri" w:hAnsi="Arial" w:cs="Arial"/>
                <w:b/>
                <w:bCs/>
                <w:szCs w:val="24"/>
              </w:rPr>
              <w:t>–</w:t>
            </w:r>
            <w:r w:rsidRPr="009C1F2A">
              <w:rPr>
                <w:rFonts w:ascii="Arial" w:eastAsia="Calibri" w:hAnsi="Arial" w:cs="Arial"/>
                <w:b/>
                <w:bCs/>
                <w:szCs w:val="24"/>
              </w:rPr>
              <w:t>Mar</w:t>
            </w:r>
            <w:r>
              <w:rPr>
                <w:rFonts w:ascii="Arial" w:eastAsia="Calibri" w:hAnsi="Arial" w:cs="Arial"/>
                <w:b/>
                <w:bCs/>
                <w:szCs w:val="24"/>
              </w:rPr>
              <w:t>)</w:t>
            </w:r>
          </w:p>
          <w:p w14:paraId="018F3817" w14:textId="77777777" w:rsidR="0056302B" w:rsidRPr="009C1F2A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Cs w:val="24"/>
              </w:rPr>
              <w:t>%</w:t>
            </w:r>
          </w:p>
        </w:tc>
      </w:tr>
      <w:tr w:rsidR="0056302B" w14:paraId="6FB586BF" w14:textId="77777777" w:rsidTr="00E4510B">
        <w:trPr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40DB7" w14:textId="77777777" w:rsidR="0056302B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Cs w:val="24"/>
              </w:rPr>
              <w:t>2021/22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F0DC7" w14:textId="77777777" w:rsidR="0056302B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1.93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08581" w14:textId="77777777" w:rsidR="0056302B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2.88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E633B" w14:textId="77777777" w:rsidR="0056302B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2.96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19F35" w14:textId="2CBB0E70" w:rsidR="0056302B" w:rsidRDefault="0099059A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2.51</w:t>
            </w:r>
          </w:p>
        </w:tc>
      </w:tr>
      <w:tr w:rsidR="00CE0B75" w14:paraId="26C1E948" w14:textId="77777777" w:rsidTr="00E4510B">
        <w:trPr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8D4D6" w14:textId="0826CB58" w:rsidR="00CE0B75" w:rsidRDefault="00CE0B75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Cs w:val="24"/>
              </w:rPr>
              <w:t>2022/23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9E432" w14:textId="1E43C99E" w:rsidR="00CE0B75" w:rsidRDefault="00CE0B75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3.76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417ED" w14:textId="6C16879C" w:rsidR="00CE0B75" w:rsidRDefault="00A63E2A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3.52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696B2" w14:textId="58ED178E" w:rsidR="00CE0B75" w:rsidRDefault="00FB6807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3.38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FFBF6" w14:textId="5ABADD7D" w:rsidR="00CE0B75" w:rsidRDefault="00614641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3.12</w:t>
            </w:r>
          </w:p>
        </w:tc>
      </w:tr>
      <w:tr w:rsidR="005909C6" w14:paraId="42FBDFB6" w14:textId="77777777" w:rsidTr="00E4510B">
        <w:trPr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C5787" w14:textId="40C98CEF" w:rsidR="005909C6" w:rsidRDefault="005909C6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Cs w:val="24"/>
              </w:rPr>
              <w:t>2023/24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69B80" w14:textId="0544D212" w:rsidR="005909C6" w:rsidRDefault="00BC25D6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2.79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865F2" w14:textId="77777777" w:rsidR="005909C6" w:rsidRDefault="005909C6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BFD10" w14:textId="77777777" w:rsidR="005909C6" w:rsidRDefault="005909C6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803F0" w14:textId="77777777" w:rsidR="005909C6" w:rsidRDefault="005909C6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</w:p>
        </w:tc>
      </w:tr>
    </w:tbl>
    <w:p w14:paraId="2F3369E3" w14:textId="196BC868" w:rsidR="007A7B37" w:rsidRPr="002E7BD0" w:rsidRDefault="002E7BD0" w:rsidP="002E7BD0">
      <w:pPr>
        <w:pStyle w:val="NoSpacing"/>
        <w:jc w:val="right"/>
        <w:rPr>
          <w:sz w:val="20"/>
          <w:szCs w:val="20"/>
        </w:rPr>
      </w:pPr>
      <w:r w:rsidRPr="002E7BD0">
        <w:rPr>
          <w:sz w:val="20"/>
          <w:szCs w:val="20"/>
        </w:rPr>
        <w:t>Table 3</w:t>
      </w:r>
    </w:p>
    <w:p w14:paraId="56F40F14" w14:textId="77777777" w:rsidR="002E7BD0" w:rsidRDefault="002E7BD0" w:rsidP="002E7BD0">
      <w:pPr>
        <w:pStyle w:val="NoSpacing"/>
        <w:jc w:val="right"/>
      </w:pPr>
    </w:p>
    <w:p w14:paraId="5A3C4C6E" w14:textId="564D0E32" w:rsidR="0056302B" w:rsidRDefault="0056302B" w:rsidP="002579EB">
      <w:pPr>
        <w:pStyle w:val="NoSpacing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2013"/>
        <w:gridCol w:w="2011"/>
        <w:gridCol w:w="2011"/>
        <w:gridCol w:w="2010"/>
      </w:tblGrid>
      <w:tr w:rsidR="00E4510B" w:rsidRPr="00792FAC" w14:paraId="73EC086F" w14:textId="77777777" w:rsidTr="00E4510B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EAEFD" w14:textId="77777777" w:rsidR="00E4510B" w:rsidRPr="00792FAC" w:rsidRDefault="00E4510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AVERAGE SICKNESS ABSENCE DAYS PER EMPLOYEE</w:t>
            </w:r>
          </w:p>
        </w:tc>
      </w:tr>
      <w:tr w:rsidR="00E4510B" w:rsidRPr="00792FAC" w14:paraId="6E527E11" w14:textId="77777777" w:rsidTr="00E4510B">
        <w:trPr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C7313" w14:textId="77777777" w:rsidR="00E4510B" w:rsidRPr="00792FAC" w:rsidRDefault="00E4510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77759" w14:textId="77777777" w:rsidR="00E4510B" w:rsidRPr="00792FAC" w:rsidRDefault="00E4510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14:paraId="549A43D5" w14:textId="77777777" w:rsidR="00E4510B" w:rsidRPr="00792FAC" w:rsidRDefault="00E4510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Quarter 1</w:t>
            </w:r>
          </w:p>
          <w:p w14:paraId="3D292C8E" w14:textId="77777777" w:rsidR="00E4510B" w:rsidRPr="00792FAC" w:rsidRDefault="00E4510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(Apr–Jun)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F05D2" w14:textId="77777777" w:rsidR="00E4510B" w:rsidRPr="00792FAC" w:rsidRDefault="00E4510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14:paraId="42AF3902" w14:textId="77777777" w:rsidR="00E4510B" w:rsidRPr="00792FAC" w:rsidRDefault="00E4510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Quarter 2</w:t>
            </w:r>
          </w:p>
          <w:p w14:paraId="572AD4F9" w14:textId="77777777" w:rsidR="00E4510B" w:rsidRPr="00792FAC" w:rsidRDefault="00E4510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(Jul–Sep)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926BB" w14:textId="77777777" w:rsidR="00E4510B" w:rsidRPr="00792FAC" w:rsidRDefault="00E4510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14:paraId="288F9858" w14:textId="77777777" w:rsidR="00E4510B" w:rsidRPr="00792FAC" w:rsidRDefault="00E4510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Quarter 3</w:t>
            </w:r>
          </w:p>
          <w:p w14:paraId="27D43B97" w14:textId="77777777" w:rsidR="00E4510B" w:rsidRPr="00792FAC" w:rsidRDefault="00E4510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(Oct–Dec)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DE9C" w14:textId="77777777" w:rsidR="00E4510B" w:rsidRPr="00792FAC" w:rsidRDefault="00E4510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14:paraId="33AEB67A" w14:textId="77777777" w:rsidR="00E4510B" w:rsidRPr="00792FAC" w:rsidRDefault="00E4510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Quarter 4</w:t>
            </w:r>
          </w:p>
          <w:p w14:paraId="509B3BD0" w14:textId="77777777" w:rsidR="00E4510B" w:rsidRPr="00792FAC" w:rsidRDefault="00E4510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(Jan–Mar)</w:t>
            </w:r>
          </w:p>
        </w:tc>
      </w:tr>
      <w:tr w:rsidR="00E4510B" w:rsidRPr="00792FAC" w14:paraId="56D9A3C3" w14:textId="77777777" w:rsidTr="00E4510B">
        <w:trPr>
          <w:trHeight w:val="288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BB8E9" w14:textId="77777777" w:rsidR="00E4510B" w:rsidRPr="00792FAC" w:rsidRDefault="00E4510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2021/22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1AA0B" w14:textId="77777777" w:rsidR="00E4510B" w:rsidRPr="00792FAC" w:rsidRDefault="00E4510B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792FAC">
              <w:rPr>
                <w:rFonts w:ascii="Arial" w:eastAsia="Calibri" w:hAnsi="Arial" w:cs="Arial"/>
                <w:szCs w:val="24"/>
              </w:rPr>
              <w:t>1.63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55B4F" w14:textId="77777777" w:rsidR="00E4510B" w:rsidRPr="00792FAC" w:rsidRDefault="00E4510B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792FAC">
              <w:rPr>
                <w:rFonts w:ascii="Arial" w:eastAsia="Calibri" w:hAnsi="Arial" w:cs="Arial"/>
                <w:szCs w:val="24"/>
              </w:rPr>
              <w:t>2.33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CD484" w14:textId="77777777" w:rsidR="00E4510B" w:rsidRPr="00792FAC" w:rsidRDefault="00E4510B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792FAC">
              <w:rPr>
                <w:rFonts w:ascii="Arial" w:eastAsia="Calibri" w:hAnsi="Arial" w:cs="Arial"/>
                <w:szCs w:val="24"/>
              </w:rPr>
              <w:t>2.70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1BE99" w14:textId="50085B46" w:rsidR="00E4510B" w:rsidRPr="00792FAC" w:rsidRDefault="008D6311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2.</w:t>
            </w:r>
            <w:r w:rsidR="00505074">
              <w:rPr>
                <w:rFonts w:ascii="Arial" w:eastAsia="Calibri" w:hAnsi="Arial" w:cs="Arial"/>
                <w:szCs w:val="24"/>
              </w:rPr>
              <w:t>73</w:t>
            </w:r>
          </w:p>
        </w:tc>
      </w:tr>
      <w:tr w:rsidR="00CE0B75" w:rsidRPr="00792FAC" w14:paraId="6ACB229E" w14:textId="77777777" w:rsidTr="00E4510B">
        <w:trPr>
          <w:trHeight w:val="288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05381" w14:textId="06EB02E4" w:rsidR="00CE0B75" w:rsidRPr="00792FAC" w:rsidRDefault="00CE0B75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Cs w:val="24"/>
              </w:rPr>
              <w:t>2022/23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053AF" w14:textId="17C7356B" w:rsidR="00CE0B75" w:rsidRPr="00792FAC" w:rsidRDefault="00CE0B75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3.61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71DF0" w14:textId="35EE1D1A" w:rsidR="00CE0B75" w:rsidRPr="00792FAC" w:rsidRDefault="00A63E2A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3.40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47754" w14:textId="4601B289" w:rsidR="00CE0B75" w:rsidRPr="00792FAC" w:rsidRDefault="00FB6807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2.89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27DA6" w14:textId="2F47E36B" w:rsidR="00CE0B75" w:rsidRDefault="00AE7DFE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2.83</w:t>
            </w:r>
          </w:p>
        </w:tc>
      </w:tr>
      <w:tr w:rsidR="005909C6" w:rsidRPr="00792FAC" w14:paraId="4B71694B" w14:textId="77777777" w:rsidTr="00E4510B">
        <w:trPr>
          <w:trHeight w:val="288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60FDD" w14:textId="3E6ED103" w:rsidR="005909C6" w:rsidRDefault="005909C6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Cs w:val="24"/>
              </w:rPr>
              <w:t>2023/24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B4476" w14:textId="0794860A" w:rsidR="005909C6" w:rsidRDefault="005C10E3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2.61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E3F07" w14:textId="77777777" w:rsidR="005909C6" w:rsidRDefault="005909C6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4D96A" w14:textId="77777777" w:rsidR="005909C6" w:rsidRDefault="005909C6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5AAAC" w14:textId="77777777" w:rsidR="005909C6" w:rsidRDefault="005909C6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</w:p>
        </w:tc>
      </w:tr>
    </w:tbl>
    <w:p w14:paraId="65268621" w14:textId="2EFEEC90" w:rsidR="0056302B" w:rsidRDefault="002E7BD0" w:rsidP="002E7BD0">
      <w:pPr>
        <w:pStyle w:val="NoSpacing"/>
        <w:jc w:val="right"/>
        <w:rPr>
          <w:sz w:val="20"/>
          <w:szCs w:val="20"/>
        </w:rPr>
      </w:pPr>
      <w:r w:rsidRPr="002E7BD0">
        <w:rPr>
          <w:sz w:val="20"/>
          <w:szCs w:val="20"/>
        </w:rPr>
        <w:t>Table 4</w:t>
      </w:r>
    </w:p>
    <w:p w14:paraId="04C61074" w14:textId="3D71F833" w:rsidR="00B55C17" w:rsidRDefault="00B55C17" w:rsidP="002E7BD0">
      <w:pPr>
        <w:pStyle w:val="NoSpacing"/>
        <w:jc w:val="right"/>
        <w:rPr>
          <w:sz w:val="20"/>
          <w:szCs w:val="20"/>
        </w:rPr>
      </w:pPr>
    </w:p>
    <w:p w14:paraId="45124B76" w14:textId="77777777" w:rsidR="009201D8" w:rsidRDefault="009201D8" w:rsidP="002E7BD0">
      <w:pPr>
        <w:pStyle w:val="NoSpacing"/>
        <w:jc w:val="right"/>
        <w:rPr>
          <w:sz w:val="20"/>
          <w:szCs w:val="20"/>
        </w:rPr>
      </w:pPr>
    </w:p>
    <w:p w14:paraId="31FCBBF7" w14:textId="77777777" w:rsidR="009201D8" w:rsidRDefault="009201D8" w:rsidP="002E7BD0">
      <w:pPr>
        <w:pStyle w:val="NoSpacing"/>
        <w:jc w:val="right"/>
        <w:rPr>
          <w:sz w:val="20"/>
          <w:szCs w:val="20"/>
        </w:rPr>
      </w:pPr>
    </w:p>
    <w:p w14:paraId="3DB12D08" w14:textId="77777777" w:rsidR="009201D8" w:rsidRDefault="009201D8" w:rsidP="002E7BD0">
      <w:pPr>
        <w:pStyle w:val="NoSpacing"/>
        <w:jc w:val="right"/>
        <w:rPr>
          <w:sz w:val="20"/>
          <w:szCs w:val="20"/>
        </w:rPr>
      </w:pPr>
    </w:p>
    <w:p w14:paraId="3215D683" w14:textId="77777777" w:rsidR="004F71BA" w:rsidRDefault="004F71BA" w:rsidP="002E7BD0">
      <w:pPr>
        <w:pStyle w:val="NoSpacing"/>
        <w:jc w:val="right"/>
        <w:rPr>
          <w:sz w:val="20"/>
          <w:szCs w:val="20"/>
        </w:rPr>
      </w:pPr>
    </w:p>
    <w:p w14:paraId="624999E9" w14:textId="77777777" w:rsidR="004F71BA" w:rsidRDefault="004F71BA" w:rsidP="002E7BD0">
      <w:pPr>
        <w:pStyle w:val="NoSpacing"/>
        <w:jc w:val="right"/>
        <w:rPr>
          <w:sz w:val="20"/>
          <w:szCs w:val="20"/>
        </w:rPr>
      </w:pPr>
    </w:p>
    <w:p w14:paraId="3D2CE640" w14:textId="77777777" w:rsidR="004F71BA" w:rsidRDefault="004F71BA" w:rsidP="002E7BD0">
      <w:pPr>
        <w:pStyle w:val="NoSpacing"/>
        <w:jc w:val="right"/>
        <w:rPr>
          <w:sz w:val="20"/>
          <w:szCs w:val="20"/>
        </w:rPr>
      </w:pPr>
    </w:p>
    <w:p w14:paraId="0FF1DCAF" w14:textId="77777777" w:rsidR="004F71BA" w:rsidRDefault="004F71BA" w:rsidP="002E7BD0">
      <w:pPr>
        <w:pStyle w:val="NoSpacing"/>
        <w:jc w:val="right"/>
        <w:rPr>
          <w:sz w:val="20"/>
          <w:szCs w:val="20"/>
        </w:rPr>
      </w:pPr>
    </w:p>
    <w:p w14:paraId="79FCFF02" w14:textId="77777777" w:rsidR="004F71BA" w:rsidRDefault="004F71BA" w:rsidP="002E7BD0">
      <w:pPr>
        <w:pStyle w:val="NoSpacing"/>
        <w:jc w:val="right"/>
        <w:rPr>
          <w:sz w:val="20"/>
          <w:szCs w:val="20"/>
        </w:rPr>
      </w:pPr>
    </w:p>
    <w:p w14:paraId="39A18A4B" w14:textId="77777777" w:rsidR="004F71BA" w:rsidRDefault="004F71BA" w:rsidP="002E7BD0">
      <w:pPr>
        <w:pStyle w:val="NoSpacing"/>
        <w:jc w:val="right"/>
        <w:rPr>
          <w:sz w:val="20"/>
          <w:szCs w:val="20"/>
        </w:rPr>
      </w:pPr>
    </w:p>
    <w:p w14:paraId="7F760CB6" w14:textId="77777777" w:rsidR="004F71BA" w:rsidRDefault="004F71BA" w:rsidP="002E7BD0">
      <w:pPr>
        <w:pStyle w:val="NoSpacing"/>
        <w:jc w:val="right"/>
        <w:rPr>
          <w:sz w:val="20"/>
          <w:szCs w:val="20"/>
        </w:rPr>
      </w:pPr>
    </w:p>
    <w:p w14:paraId="21EEF26F" w14:textId="77777777" w:rsidR="004F71BA" w:rsidRDefault="004F71BA" w:rsidP="002E7BD0">
      <w:pPr>
        <w:pStyle w:val="NoSpacing"/>
        <w:jc w:val="right"/>
        <w:rPr>
          <w:sz w:val="20"/>
          <w:szCs w:val="20"/>
        </w:rPr>
      </w:pPr>
    </w:p>
    <w:p w14:paraId="6E2145D4" w14:textId="77777777" w:rsidR="004F71BA" w:rsidRDefault="004F71BA" w:rsidP="002E7BD0">
      <w:pPr>
        <w:pStyle w:val="NoSpacing"/>
        <w:jc w:val="right"/>
        <w:rPr>
          <w:sz w:val="20"/>
          <w:szCs w:val="20"/>
        </w:rPr>
      </w:pPr>
    </w:p>
    <w:p w14:paraId="1ECFE053" w14:textId="77777777" w:rsidR="004F71BA" w:rsidRDefault="004F71BA" w:rsidP="002E7BD0">
      <w:pPr>
        <w:pStyle w:val="NoSpacing"/>
        <w:jc w:val="right"/>
        <w:rPr>
          <w:sz w:val="20"/>
          <w:szCs w:val="20"/>
        </w:rPr>
      </w:pPr>
    </w:p>
    <w:p w14:paraId="77886F3C" w14:textId="77777777" w:rsidR="004F71BA" w:rsidRDefault="004F71BA" w:rsidP="002E7BD0">
      <w:pPr>
        <w:pStyle w:val="NoSpacing"/>
        <w:jc w:val="right"/>
        <w:rPr>
          <w:sz w:val="20"/>
          <w:szCs w:val="20"/>
        </w:rPr>
      </w:pPr>
    </w:p>
    <w:p w14:paraId="1B06DC5E" w14:textId="77777777" w:rsidR="004F71BA" w:rsidRDefault="004F71BA" w:rsidP="002E7BD0">
      <w:pPr>
        <w:pStyle w:val="NoSpacing"/>
        <w:jc w:val="right"/>
        <w:rPr>
          <w:sz w:val="20"/>
          <w:szCs w:val="20"/>
        </w:rPr>
      </w:pPr>
    </w:p>
    <w:p w14:paraId="54085D16" w14:textId="77777777" w:rsidR="009201D8" w:rsidRDefault="009201D8" w:rsidP="002E7BD0">
      <w:pPr>
        <w:pStyle w:val="NoSpacing"/>
        <w:jc w:val="right"/>
        <w:rPr>
          <w:sz w:val="20"/>
          <w:szCs w:val="20"/>
        </w:rPr>
      </w:pPr>
    </w:p>
    <w:p w14:paraId="5EE43FEB" w14:textId="77777777" w:rsidR="00920183" w:rsidRDefault="00920183" w:rsidP="004F71BA">
      <w:pPr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</w:p>
    <w:p w14:paraId="1B44E5D4" w14:textId="77777777" w:rsidR="0092344A" w:rsidRDefault="0092344A" w:rsidP="0092344A">
      <w:pPr>
        <w:jc w:val="right"/>
        <w:rPr>
          <w:rFonts w:ascii="Arial" w:eastAsiaTheme="minorHAnsi" w:hAnsi="Arial" w:cs="Arial"/>
          <w:b/>
          <w:bCs/>
          <w:szCs w:val="24"/>
          <w:lang w:eastAsia="en-US"/>
        </w:rPr>
      </w:pPr>
    </w:p>
    <w:p w14:paraId="2F9F0A35" w14:textId="10C2C67A" w:rsidR="00393361" w:rsidRPr="0092344A" w:rsidRDefault="0092344A" w:rsidP="0092344A">
      <w:pPr>
        <w:jc w:val="right"/>
        <w:rPr>
          <w:rFonts w:ascii="Arial" w:eastAsiaTheme="minorHAnsi" w:hAnsi="Arial" w:cs="Arial"/>
          <w:b/>
          <w:bCs/>
          <w:szCs w:val="24"/>
          <w:lang w:eastAsia="en-US"/>
        </w:rPr>
      </w:pPr>
      <w:r w:rsidRPr="0092344A">
        <w:rPr>
          <w:rFonts w:ascii="Arial" w:eastAsiaTheme="minorHAnsi" w:hAnsi="Arial" w:cs="Arial"/>
          <w:b/>
          <w:bCs/>
          <w:szCs w:val="24"/>
          <w:lang w:eastAsia="en-US"/>
        </w:rPr>
        <w:lastRenderedPageBreak/>
        <w:t>Appendix C</w:t>
      </w:r>
    </w:p>
    <w:p w14:paraId="46CC873A" w14:textId="3D1D7F07" w:rsidR="004F71BA" w:rsidRPr="004F71BA" w:rsidRDefault="004F71BA" w:rsidP="004F71BA">
      <w:pPr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4F71BA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PROCESS FOR CESSATION OF SERVICE(S)</w:t>
      </w:r>
    </w:p>
    <w:p w14:paraId="2F6C844D" w14:textId="77777777" w:rsidR="004F71BA" w:rsidRPr="004F71BA" w:rsidRDefault="004F71BA" w:rsidP="004F71BA">
      <w:pPr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4F71BA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WHERE REDPLOYMENT / REDUNDANCY MAY APPLY</w:t>
      </w:r>
    </w:p>
    <w:p w14:paraId="711C5BB5" w14:textId="77777777" w:rsidR="004F71BA" w:rsidRPr="004F71BA" w:rsidRDefault="004F71BA" w:rsidP="004F71BA">
      <w:pPr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4F71BA">
        <w:rPr>
          <w:rFonts w:ascii="Arial" w:eastAsiaTheme="minorHAnsi" w:hAnsi="Arial" w:cs="Arial"/>
          <w:b/>
          <w:bCs/>
          <w:sz w:val="28"/>
          <w:szCs w:val="28"/>
          <w:lang w:eastAsia="en-US"/>
        </w:rPr>
        <w:t xml:space="preserve">SERVICE: </w:t>
      </w:r>
    </w:p>
    <w:p w14:paraId="67F71182" w14:textId="77777777" w:rsidR="004F71BA" w:rsidRPr="004F71BA" w:rsidRDefault="004F71BA" w:rsidP="004F71BA">
      <w:pPr>
        <w:jc w:val="center"/>
        <w:rPr>
          <w:rFonts w:ascii="Arial" w:eastAsiaTheme="minorHAnsi" w:hAnsi="Arial" w:cs="Arial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"/>
        <w:gridCol w:w="3175"/>
        <w:gridCol w:w="2004"/>
        <w:gridCol w:w="2242"/>
        <w:gridCol w:w="1313"/>
      </w:tblGrid>
      <w:tr w:rsidR="004F71BA" w:rsidRPr="004F71BA" w14:paraId="56A1810B" w14:textId="77777777">
        <w:tc>
          <w:tcPr>
            <w:tcW w:w="1255" w:type="dxa"/>
          </w:tcPr>
          <w:p w14:paraId="0C6791A7" w14:textId="77777777" w:rsidR="004F71BA" w:rsidRPr="004F71BA" w:rsidRDefault="004F71BA" w:rsidP="004F71BA">
            <w:pPr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4F71BA">
              <w:rPr>
                <w:rFonts w:ascii="Arial" w:eastAsiaTheme="minorHAnsi" w:hAnsi="Arial" w:cs="Arial"/>
                <w:szCs w:val="24"/>
                <w:lang w:eastAsia="en-US"/>
              </w:rPr>
              <w:t xml:space="preserve">Stage </w:t>
            </w:r>
          </w:p>
        </w:tc>
        <w:tc>
          <w:tcPr>
            <w:tcW w:w="4611" w:type="dxa"/>
          </w:tcPr>
          <w:p w14:paraId="7C4B7CF2" w14:textId="77777777" w:rsidR="004F71BA" w:rsidRPr="004F71BA" w:rsidRDefault="004F71BA" w:rsidP="004F71BA">
            <w:pPr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4F71BA">
              <w:rPr>
                <w:rFonts w:ascii="Arial" w:eastAsiaTheme="minorHAnsi" w:hAnsi="Arial" w:cs="Arial"/>
                <w:szCs w:val="24"/>
                <w:lang w:eastAsia="en-US"/>
              </w:rPr>
              <w:t>Action</w:t>
            </w:r>
          </w:p>
        </w:tc>
        <w:tc>
          <w:tcPr>
            <w:tcW w:w="2499" w:type="dxa"/>
          </w:tcPr>
          <w:p w14:paraId="7705427A" w14:textId="77777777" w:rsidR="004F71BA" w:rsidRPr="004F71BA" w:rsidRDefault="004F71BA" w:rsidP="004F71BA">
            <w:pPr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4F71BA">
              <w:rPr>
                <w:rFonts w:ascii="Arial" w:eastAsiaTheme="minorHAnsi" w:hAnsi="Arial" w:cs="Arial"/>
                <w:szCs w:val="24"/>
                <w:lang w:eastAsia="en-US"/>
              </w:rPr>
              <w:t>Responsibility</w:t>
            </w:r>
          </w:p>
        </w:tc>
        <w:tc>
          <w:tcPr>
            <w:tcW w:w="4320" w:type="dxa"/>
          </w:tcPr>
          <w:p w14:paraId="1FD4382F" w14:textId="77777777" w:rsidR="004F71BA" w:rsidRPr="004F71BA" w:rsidRDefault="004F71BA" w:rsidP="004F71BA">
            <w:pPr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4F71BA">
              <w:rPr>
                <w:rFonts w:ascii="Arial" w:eastAsiaTheme="minorHAnsi" w:hAnsi="Arial" w:cs="Arial"/>
                <w:szCs w:val="24"/>
                <w:lang w:eastAsia="en-US"/>
              </w:rPr>
              <w:t>Details</w:t>
            </w:r>
          </w:p>
        </w:tc>
        <w:tc>
          <w:tcPr>
            <w:tcW w:w="1983" w:type="dxa"/>
          </w:tcPr>
          <w:p w14:paraId="2B7C3246" w14:textId="77777777" w:rsidR="004F71BA" w:rsidRPr="004F71BA" w:rsidRDefault="004F71BA" w:rsidP="004F71BA">
            <w:pPr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4F71BA">
              <w:rPr>
                <w:rFonts w:ascii="Arial" w:eastAsiaTheme="minorHAnsi" w:hAnsi="Arial" w:cs="Arial"/>
                <w:szCs w:val="24"/>
                <w:lang w:eastAsia="en-US"/>
              </w:rPr>
              <w:t>Status</w:t>
            </w:r>
          </w:p>
        </w:tc>
      </w:tr>
      <w:tr w:rsidR="004F71BA" w:rsidRPr="004F71BA" w14:paraId="0E3B7786" w14:textId="77777777">
        <w:tc>
          <w:tcPr>
            <w:tcW w:w="1255" w:type="dxa"/>
          </w:tcPr>
          <w:p w14:paraId="0CE06621" w14:textId="77777777" w:rsidR="004F71BA" w:rsidRPr="004F71BA" w:rsidRDefault="004F71BA" w:rsidP="004F71BA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  <w:tc>
          <w:tcPr>
            <w:tcW w:w="4611" w:type="dxa"/>
          </w:tcPr>
          <w:p w14:paraId="17BABF61" w14:textId="77777777" w:rsidR="004F71BA" w:rsidRPr="004F71BA" w:rsidRDefault="004F71BA" w:rsidP="004F71BA">
            <w:pPr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>Creation of a one-pagers business justification (this will be used throughout the process).</w:t>
            </w:r>
          </w:p>
        </w:tc>
        <w:tc>
          <w:tcPr>
            <w:tcW w:w="2499" w:type="dxa"/>
          </w:tcPr>
          <w:p w14:paraId="724CB956" w14:textId="77777777" w:rsidR="004F71BA" w:rsidRPr="004F71BA" w:rsidRDefault="004F71BA" w:rsidP="004F71BA">
            <w:pPr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>Service</w:t>
            </w:r>
          </w:p>
        </w:tc>
        <w:tc>
          <w:tcPr>
            <w:tcW w:w="4320" w:type="dxa"/>
          </w:tcPr>
          <w:p w14:paraId="046F14ED" w14:textId="77777777" w:rsidR="004F71BA" w:rsidRPr="004F71BA" w:rsidRDefault="004F71BA" w:rsidP="004F71BA">
            <w:pPr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  <w:tc>
          <w:tcPr>
            <w:tcW w:w="1983" w:type="dxa"/>
          </w:tcPr>
          <w:p w14:paraId="3482852A" w14:textId="77777777" w:rsidR="004F71BA" w:rsidRPr="004F71BA" w:rsidRDefault="004F71BA" w:rsidP="004F71BA">
            <w:pPr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4F71BA" w:rsidRPr="004F71BA" w14:paraId="4C35F3AF" w14:textId="77777777">
        <w:tc>
          <w:tcPr>
            <w:tcW w:w="1255" w:type="dxa"/>
          </w:tcPr>
          <w:p w14:paraId="1A650C4D" w14:textId="77777777" w:rsidR="004F71BA" w:rsidRPr="004F71BA" w:rsidRDefault="004F71BA" w:rsidP="004F71BA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  <w:tc>
          <w:tcPr>
            <w:tcW w:w="4611" w:type="dxa"/>
          </w:tcPr>
          <w:p w14:paraId="3195976D" w14:textId="77777777" w:rsidR="004F71BA" w:rsidRPr="004F71BA" w:rsidRDefault="004F71BA" w:rsidP="004F71BA">
            <w:pPr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>Internal consultation with HR.</w:t>
            </w:r>
          </w:p>
          <w:p w14:paraId="52DF05F1" w14:textId="77777777" w:rsidR="004F71BA" w:rsidRPr="004F71BA" w:rsidRDefault="004F71BA" w:rsidP="004F71BA">
            <w:pPr>
              <w:numPr>
                <w:ilvl w:val="0"/>
                <w:numId w:val="28"/>
              </w:numPr>
              <w:contextualSpacing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>Identify those potentially at risk</w:t>
            </w:r>
          </w:p>
          <w:p w14:paraId="50F3C41E" w14:textId="77777777" w:rsidR="004F71BA" w:rsidRPr="004F71BA" w:rsidRDefault="004F71BA" w:rsidP="004F71BA">
            <w:pPr>
              <w:numPr>
                <w:ilvl w:val="0"/>
                <w:numId w:val="28"/>
              </w:numPr>
              <w:contextualSpacing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>Age</w:t>
            </w:r>
          </w:p>
          <w:p w14:paraId="32B79D5F" w14:textId="77777777" w:rsidR="004F71BA" w:rsidRPr="004F71BA" w:rsidRDefault="004F71BA" w:rsidP="004F71BA">
            <w:pPr>
              <w:numPr>
                <w:ilvl w:val="0"/>
                <w:numId w:val="28"/>
              </w:numPr>
              <w:contextualSpacing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>Length of service</w:t>
            </w:r>
          </w:p>
          <w:p w14:paraId="491D239F" w14:textId="77777777" w:rsidR="004F71BA" w:rsidRPr="004F71BA" w:rsidRDefault="004F71BA" w:rsidP="004F71BA">
            <w:pPr>
              <w:numPr>
                <w:ilvl w:val="0"/>
                <w:numId w:val="28"/>
              </w:numPr>
              <w:contextualSpacing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>Pension strain</w:t>
            </w:r>
          </w:p>
          <w:p w14:paraId="7DEC69FE" w14:textId="77777777" w:rsidR="004F71BA" w:rsidRPr="004F71BA" w:rsidRDefault="004F71BA" w:rsidP="004F71BA">
            <w:pPr>
              <w:numPr>
                <w:ilvl w:val="0"/>
                <w:numId w:val="28"/>
              </w:numPr>
              <w:contextualSpacing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>Protected characteristics</w:t>
            </w:r>
          </w:p>
          <w:p w14:paraId="71AB304E" w14:textId="77777777" w:rsidR="004F71BA" w:rsidRPr="004F71BA" w:rsidRDefault="004F71BA" w:rsidP="004F71BA">
            <w:pPr>
              <w:numPr>
                <w:ilvl w:val="0"/>
                <w:numId w:val="28"/>
              </w:numPr>
              <w:contextualSpacing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>Impacts on those involved</w:t>
            </w:r>
          </w:p>
          <w:p w14:paraId="4F690411" w14:textId="77777777" w:rsidR="004F71BA" w:rsidRPr="004F71BA" w:rsidRDefault="004F71BA" w:rsidP="004F71BA">
            <w:pPr>
              <w:numPr>
                <w:ilvl w:val="0"/>
                <w:numId w:val="28"/>
              </w:numPr>
              <w:contextualSpacing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>Consideration of VR</w:t>
            </w:r>
          </w:p>
        </w:tc>
        <w:tc>
          <w:tcPr>
            <w:tcW w:w="2499" w:type="dxa"/>
          </w:tcPr>
          <w:p w14:paraId="0ACDD107" w14:textId="77777777" w:rsidR="004F71BA" w:rsidRPr="004F71BA" w:rsidRDefault="004F71BA" w:rsidP="004F71BA">
            <w:pPr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>Service</w:t>
            </w:r>
          </w:p>
        </w:tc>
        <w:tc>
          <w:tcPr>
            <w:tcW w:w="4320" w:type="dxa"/>
          </w:tcPr>
          <w:p w14:paraId="14D8ACA6" w14:textId="77777777" w:rsidR="004F71BA" w:rsidRPr="004F71BA" w:rsidRDefault="004F71BA" w:rsidP="004F71BA">
            <w:pPr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</w:p>
          <w:p w14:paraId="57640B22" w14:textId="77777777" w:rsidR="004F71BA" w:rsidRPr="004F71BA" w:rsidRDefault="004F71BA" w:rsidP="004F71BA">
            <w:pPr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  <w:tc>
          <w:tcPr>
            <w:tcW w:w="1983" w:type="dxa"/>
          </w:tcPr>
          <w:p w14:paraId="340C0559" w14:textId="77777777" w:rsidR="004F71BA" w:rsidRPr="004F71BA" w:rsidRDefault="004F71BA" w:rsidP="004F71BA">
            <w:pPr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4F71BA" w:rsidRPr="004F71BA" w14:paraId="1FB543DC" w14:textId="77777777">
        <w:tc>
          <w:tcPr>
            <w:tcW w:w="1255" w:type="dxa"/>
          </w:tcPr>
          <w:p w14:paraId="4CD25DEF" w14:textId="77777777" w:rsidR="004F71BA" w:rsidRPr="004F71BA" w:rsidRDefault="004F71BA" w:rsidP="004F71BA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  <w:tc>
          <w:tcPr>
            <w:tcW w:w="4611" w:type="dxa"/>
          </w:tcPr>
          <w:p w14:paraId="3D6A801A" w14:textId="77777777" w:rsidR="004F71BA" w:rsidRPr="004F71BA" w:rsidRDefault="004F71BA" w:rsidP="004F71BA">
            <w:pPr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>Pre-discussion with JCF.</w:t>
            </w:r>
          </w:p>
        </w:tc>
        <w:tc>
          <w:tcPr>
            <w:tcW w:w="2499" w:type="dxa"/>
          </w:tcPr>
          <w:p w14:paraId="39C13CF6" w14:textId="77777777" w:rsidR="004F71BA" w:rsidRPr="004F71BA" w:rsidRDefault="004F71BA" w:rsidP="004F71BA">
            <w:pPr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>HR and Service</w:t>
            </w:r>
          </w:p>
        </w:tc>
        <w:tc>
          <w:tcPr>
            <w:tcW w:w="4320" w:type="dxa"/>
          </w:tcPr>
          <w:p w14:paraId="454C8933" w14:textId="77777777" w:rsidR="004F71BA" w:rsidRPr="004F71BA" w:rsidRDefault="004F71BA" w:rsidP="004F71BA">
            <w:pPr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</w:p>
          <w:p w14:paraId="24384F95" w14:textId="77777777" w:rsidR="004F71BA" w:rsidRPr="004F71BA" w:rsidRDefault="004F71BA" w:rsidP="004F71BA">
            <w:pPr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  <w:tc>
          <w:tcPr>
            <w:tcW w:w="1983" w:type="dxa"/>
          </w:tcPr>
          <w:p w14:paraId="1F51C9BE" w14:textId="77777777" w:rsidR="004F71BA" w:rsidRPr="004F71BA" w:rsidRDefault="004F71BA" w:rsidP="004F71BA">
            <w:pPr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4F71BA" w:rsidRPr="004F71BA" w14:paraId="6D620D59" w14:textId="77777777">
        <w:tc>
          <w:tcPr>
            <w:tcW w:w="1255" w:type="dxa"/>
          </w:tcPr>
          <w:p w14:paraId="07F90D7E" w14:textId="77777777" w:rsidR="004F71BA" w:rsidRPr="004F71BA" w:rsidRDefault="004F71BA" w:rsidP="004F71BA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  <w:tc>
          <w:tcPr>
            <w:tcW w:w="4611" w:type="dxa"/>
          </w:tcPr>
          <w:p w14:paraId="78874195" w14:textId="77777777" w:rsidR="004F71BA" w:rsidRPr="004F71BA" w:rsidRDefault="004F71BA" w:rsidP="004F71BA">
            <w:pPr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 xml:space="preserve">Informal discussion (heads-up) with staff at-risk. </w:t>
            </w:r>
          </w:p>
        </w:tc>
        <w:tc>
          <w:tcPr>
            <w:tcW w:w="2499" w:type="dxa"/>
          </w:tcPr>
          <w:p w14:paraId="77EBF4C6" w14:textId="77777777" w:rsidR="004F71BA" w:rsidRPr="004F71BA" w:rsidRDefault="004F71BA" w:rsidP="004F71BA">
            <w:pPr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>Service</w:t>
            </w:r>
          </w:p>
        </w:tc>
        <w:tc>
          <w:tcPr>
            <w:tcW w:w="4320" w:type="dxa"/>
          </w:tcPr>
          <w:p w14:paraId="321A55AE" w14:textId="77777777" w:rsidR="004F71BA" w:rsidRPr="004F71BA" w:rsidRDefault="004F71BA" w:rsidP="004F71BA">
            <w:pPr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  <w:tc>
          <w:tcPr>
            <w:tcW w:w="1983" w:type="dxa"/>
          </w:tcPr>
          <w:p w14:paraId="3755B087" w14:textId="77777777" w:rsidR="004F71BA" w:rsidRPr="004F71BA" w:rsidRDefault="004F71BA" w:rsidP="004F71BA">
            <w:pPr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4F71BA" w:rsidRPr="004F71BA" w14:paraId="0CDDE538" w14:textId="77777777">
        <w:tc>
          <w:tcPr>
            <w:tcW w:w="1255" w:type="dxa"/>
          </w:tcPr>
          <w:p w14:paraId="65A6F528" w14:textId="77777777" w:rsidR="004F71BA" w:rsidRPr="004F71BA" w:rsidRDefault="004F71BA" w:rsidP="004F71BA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  <w:tc>
          <w:tcPr>
            <w:tcW w:w="4611" w:type="dxa"/>
          </w:tcPr>
          <w:p w14:paraId="5117FA0A" w14:textId="77777777" w:rsidR="004F71BA" w:rsidRPr="004F71BA" w:rsidRDefault="004F71BA" w:rsidP="004F71BA">
            <w:pPr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>Initial consultation (generally with all parties at risk and unions)</w:t>
            </w:r>
          </w:p>
          <w:p w14:paraId="1FE02ACD" w14:textId="77777777" w:rsidR="004F71BA" w:rsidRPr="004F71BA" w:rsidRDefault="004F71BA" w:rsidP="004F71BA">
            <w:pPr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>Consultation will include:</w:t>
            </w:r>
          </w:p>
          <w:p w14:paraId="75D6B3CA" w14:textId="77777777" w:rsidR="004F71BA" w:rsidRPr="004F71BA" w:rsidRDefault="004F71BA" w:rsidP="004F71BA">
            <w:pPr>
              <w:numPr>
                <w:ilvl w:val="0"/>
                <w:numId w:val="29"/>
              </w:numPr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>Details of post being "at risk" and notification (letter)</w:t>
            </w:r>
          </w:p>
          <w:p w14:paraId="48BC4ADD" w14:textId="77777777" w:rsidR="004F71BA" w:rsidRPr="004F71BA" w:rsidRDefault="004F71BA" w:rsidP="004F71BA">
            <w:pPr>
              <w:numPr>
                <w:ilvl w:val="0"/>
                <w:numId w:val="29"/>
              </w:numPr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 xml:space="preserve">Selection process - where fewer members of staff may be affected. </w:t>
            </w:r>
          </w:p>
          <w:p w14:paraId="7A90CB23" w14:textId="77777777" w:rsidR="004F71BA" w:rsidRPr="004F71BA" w:rsidRDefault="004F71BA" w:rsidP="004F71BA">
            <w:pPr>
              <w:numPr>
                <w:ilvl w:val="0"/>
                <w:numId w:val="29"/>
              </w:numPr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>Conversations around 'other ideas' from member of staff and Union.</w:t>
            </w:r>
          </w:p>
          <w:p w14:paraId="1FCDE92A" w14:textId="77777777" w:rsidR="004F71BA" w:rsidRPr="004F71BA" w:rsidRDefault="004F71BA" w:rsidP="004F71BA">
            <w:pPr>
              <w:numPr>
                <w:ilvl w:val="0"/>
                <w:numId w:val="29"/>
              </w:numPr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>Ring-fencing of vacant posts for redeployment.</w:t>
            </w:r>
          </w:p>
          <w:p w14:paraId="3976B604" w14:textId="77777777" w:rsidR="004F71BA" w:rsidRPr="004F71BA" w:rsidRDefault="004F71BA" w:rsidP="004F71BA">
            <w:pPr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 xml:space="preserve">Note </w:t>
            </w:r>
            <w:r w:rsidRPr="004F71BA">
              <w:rPr>
                <w:rFonts w:ascii="Arial" w:eastAsiaTheme="minorHAnsi" w:hAnsi="Arial" w:cs="Arial"/>
                <w:b/>
                <w:bCs/>
                <w:sz w:val="20"/>
                <w:lang w:eastAsia="en-US"/>
              </w:rPr>
              <w:t>minimum</w:t>
            </w: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 xml:space="preserve"> 30 days</w:t>
            </w:r>
          </w:p>
        </w:tc>
        <w:tc>
          <w:tcPr>
            <w:tcW w:w="2499" w:type="dxa"/>
          </w:tcPr>
          <w:p w14:paraId="1A31956A" w14:textId="77777777" w:rsidR="004F71BA" w:rsidRPr="004F71BA" w:rsidRDefault="004F71BA" w:rsidP="004F71BA">
            <w:pPr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>HR and Service</w:t>
            </w:r>
          </w:p>
        </w:tc>
        <w:tc>
          <w:tcPr>
            <w:tcW w:w="4320" w:type="dxa"/>
          </w:tcPr>
          <w:p w14:paraId="7B3DD4CD" w14:textId="77777777" w:rsidR="004F71BA" w:rsidRPr="004F71BA" w:rsidRDefault="004F71BA" w:rsidP="004F71BA">
            <w:pPr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  <w:tc>
          <w:tcPr>
            <w:tcW w:w="1983" w:type="dxa"/>
          </w:tcPr>
          <w:p w14:paraId="0E19BFC0" w14:textId="77777777" w:rsidR="004F71BA" w:rsidRPr="004F71BA" w:rsidRDefault="004F71BA" w:rsidP="004F71BA">
            <w:pPr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4F71BA" w:rsidRPr="004F71BA" w14:paraId="0448BC73" w14:textId="77777777">
        <w:tc>
          <w:tcPr>
            <w:tcW w:w="1255" w:type="dxa"/>
          </w:tcPr>
          <w:p w14:paraId="37AF5F39" w14:textId="77777777" w:rsidR="004F71BA" w:rsidRPr="004F71BA" w:rsidRDefault="004F71BA" w:rsidP="004F71BA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  <w:tc>
          <w:tcPr>
            <w:tcW w:w="4611" w:type="dxa"/>
          </w:tcPr>
          <w:p w14:paraId="5DE4EB4A" w14:textId="77777777" w:rsidR="004F71BA" w:rsidRPr="004F71BA" w:rsidRDefault="004F71BA" w:rsidP="004F71BA">
            <w:pPr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>Discussion with THC colleagues regarding ‘reasonable redeployment’ to THC.</w:t>
            </w:r>
          </w:p>
        </w:tc>
        <w:tc>
          <w:tcPr>
            <w:tcW w:w="2499" w:type="dxa"/>
          </w:tcPr>
          <w:p w14:paraId="32237111" w14:textId="77777777" w:rsidR="004F71BA" w:rsidRPr="004F71BA" w:rsidRDefault="004F71BA" w:rsidP="004F71BA">
            <w:pPr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>HR</w:t>
            </w:r>
          </w:p>
        </w:tc>
        <w:tc>
          <w:tcPr>
            <w:tcW w:w="4320" w:type="dxa"/>
          </w:tcPr>
          <w:p w14:paraId="14B56455" w14:textId="77777777" w:rsidR="004F71BA" w:rsidRPr="004F71BA" w:rsidRDefault="004F71BA" w:rsidP="004F71BA">
            <w:pPr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  <w:tc>
          <w:tcPr>
            <w:tcW w:w="1983" w:type="dxa"/>
          </w:tcPr>
          <w:p w14:paraId="0DD6CB7A" w14:textId="77777777" w:rsidR="004F71BA" w:rsidRPr="004F71BA" w:rsidRDefault="004F71BA" w:rsidP="004F71BA">
            <w:pPr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4F71BA" w:rsidRPr="004F71BA" w14:paraId="61C3D9C4" w14:textId="77777777">
        <w:tc>
          <w:tcPr>
            <w:tcW w:w="1255" w:type="dxa"/>
          </w:tcPr>
          <w:p w14:paraId="757232EF" w14:textId="77777777" w:rsidR="004F71BA" w:rsidRPr="004F71BA" w:rsidRDefault="004F71BA" w:rsidP="004F71BA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  <w:tc>
          <w:tcPr>
            <w:tcW w:w="4611" w:type="dxa"/>
          </w:tcPr>
          <w:p w14:paraId="3918ECA4" w14:textId="77777777" w:rsidR="004F71BA" w:rsidRPr="004F71BA" w:rsidRDefault="004F71BA" w:rsidP="004F71BA">
            <w:pPr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>Meetings with individual members of staff.</w:t>
            </w:r>
          </w:p>
        </w:tc>
        <w:tc>
          <w:tcPr>
            <w:tcW w:w="2499" w:type="dxa"/>
          </w:tcPr>
          <w:p w14:paraId="0C3B2620" w14:textId="77777777" w:rsidR="004F71BA" w:rsidRPr="004F71BA" w:rsidRDefault="004F71BA" w:rsidP="004F71BA">
            <w:pPr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>HR and Service</w:t>
            </w:r>
          </w:p>
        </w:tc>
        <w:tc>
          <w:tcPr>
            <w:tcW w:w="4320" w:type="dxa"/>
          </w:tcPr>
          <w:p w14:paraId="5432453B" w14:textId="77777777" w:rsidR="004F71BA" w:rsidRPr="004F71BA" w:rsidRDefault="004F71BA" w:rsidP="004F71BA">
            <w:pPr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  <w:tc>
          <w:tcPr>
            <w:tcW w:w="1983" w:type="dxa"/>
          </w:tcPr>
          <w:p w14:paraId="2796DDB3" w14:textId="77777777" w:rsidR="004F71BA" w:rsidRPr="004F71BA" w:rsidRDefault="004F71BA" w:rsidP="004F71BA">
            <w:pPr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4F71BA" w:rsidRPr="004F71BA" w14:paraId="0C9FB7DE" w14:textId="77777777">
        <w:tc>
          <w:tcPr>
            <w:tcW w:w="1255" w:type="dxa"/>
          </w:tcPr>
          <w:p w14:paraId="318627D2" w14:textId="77777777" w:rsidR="004F71BA" w:rsidRPr="004F71BA" w:rsidRDefault="004F71BA" w:rsidP="004F71BA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  <w:tc>
          <w:tcPr>
            <w:tcW w:w="4611" w:type="dxa"/>
          </w:tcPr>
          <w:p w14:paraId="02B2612F" w14:textId="77777777" w:rsidR="004F71BA" w:rsidRPr="004F71BA" w:rsidRDefault="004F71BA" w:rsidP="004F71BA">
            <w:pPr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>Formal process:</w:t>
            </w:r>
          </w:p>
          <w:p w14:paraId="1046FCE7" w14:textId="77777777" w:rsidR="004F71BA" w:rsidRPr="004F71BA" w:rsidRDefault="004F71BA" w:rsidP="004F71BA">
            <w:pPr>
              <w:numPr>
                <w:ilvl w:val="0"/>
                <w:numId w:val="28"/>
              </w:numPr>
              <w:contextualSpacing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 xml:space="preserve">Personal profile identifying skills and qualifications etc. </w:t>
            </w:r>
          </w:p>
          <w:p w14:paraId="0E60DF93" w14:textId="77777777" w:rsidR="004F71BA" w:rsidRPr="004F71BA" w:rsidRDefault="004F71BA" w:rsidP="004F71BA">
            <w:pPr>
              <w:numPr>
                <w:ilvl w:val="0"/>
                <w:numId w:val="28"/>
              </w:numPr>
              <w:contextualSpacing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>Identifying suitable vacant posts (redeployment) within HLH/THC.</w:t>
            </w:r>
          </w:p>
          <w:p w14:paraId="356DB09E" w14:textId="77777777" w:rsidR="004F71BA" w:rsidRPr="004F71BA" w:rsidRDefault="004F71BA" w:rsidP="004F71BA">
            <w:pPr>
              <w:numPr>
                <w:ilvl w:val="0"/>
                <w:numId w:val="28"/>
              </w:numPr>
              <w:contextualSpacing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>Instigate trial period.</w:t>
            </w:r>
          </w:p>
          <w:p w14:paraId="4C1D694D" w14:textId="77777777" w:rsidR="004F71BA" w:rsidRPr="004F71BA" w:rsidRDefault="004F71BA" w:rsidP="004F71BA">
            <w:pPr>
              <w:numPr>
                <w:ilvl w:val="0"/>
                <w:numId w:val="28"/>
              </w:numPr>
              <w:contextualSpacing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>Financial declarations to the member of staff (</w:t>
            </w:r>
            <w:proofErr w:type="gramStart"/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>i.e.</w:t>
            </w:r>
            <w:proofErr w:type="gramEnd"/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 xml:space="preserve"> how much redundancy payments etc.)</w:t>
            </w:r>
          </w:p>
        </w:tc>
        <w:tc>
          <w:tcPr>
            <w:tcW w:w="2499" w:type="dxa"/>
          </w:tcPr>
          <w:p w14:paraId="1F5D88E4" w14:textId="77777777" w:rsidR="004F71BA" w:rsidRPr="004F71BA" w:rsidRDefault="004F71BA" w:rsidP="004F71BA">
            <w:pPr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>HR</w:t>
            </w:r>
          </w:p>
        </w:tc>
        <w:tc>
          <w:tcPr>
            <w:tcW w:w="4320" w:type="dxa"/>
          </w:tcPr>
          <w:p w14:paraId="6259451A" w14:textId="77777777" w:rsidR="004F71BA" w:rsidRPr="004F71BA" w:rsidRDefault="004F71BA" w:rsidP="004F71BA">
            <w:pPr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  <w:tc>
          <w:tcPr>
            <w:tcW w:w="1983" w:type="dxa"/>
          </w:tcPr>
          <w:p w14:paraId="15BCF214" w14:textId="77777777" w:rsidR="004F71BA" w:rsidRPr="004F71BA" w:rsidRDefault="004F71BA" w:rsidP="004F71BA">
            <w:pPr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4F71BA" w:rsidRPr="004F71BA" w14:paraId="58E11B4F" w14:textId="77777777">
        <w:tc>
          <w:tcPr>
            <w:tcW w:w="1255" w:type="dxa"/>
          </w:tcPr>
          <w:p w14:paraId="665D87E1" w14:textId="77777777" w:rsidR="004F71BA" w:rsidRPr="004F71BA" w:rsidRDefault="004F71BA" w:rsidP="004F71BA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  <w:tc>
          <w:tcPr>
            <w:tcW w:w="4611" w:type="dxa"/>
          </w:tcPr>
          <w:p w14:paraId="2D32A07A" w14:textId="77777777" w:rsidR="004F71BA" w:rsidRPr="004F71BA" w:rsidRDefault="004F71BA" w:rsidP="004F71BA">
            <w:pPr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>(If appropriate) Redeployment trial period</w:t>
            </w:r>
          </w:p>
          <w:p w14:paraId="0A4324B7" w14:textId="77777777" w:rsidR="004F71BA" w:rsidRPr="004F71BA" w:rsidRDefault="004F71BA" w:rsidP="004F71BA">
            <w:pPr>
              <w:numPr>
                <w:ilvl w:val="0"/>
                <w:numId w:val="28"/>
              </w:numPr>
              <w:contextualSpacing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>Matching to services</w:t>
            </w:r>
          </w:p>
          <w:p w14:paraId="4CE44364" w14:textId="77777777" w:rsidR="004F71BA" w:rsidRPr="004F71BA" w:rsidRDefault="004F71BA" w:rsidP="004F71BA">
            <w:pPr>
              <w:numPr>
                <w:ilvl w:val="0"/>
                <w:numId w:val="28"/>
              </w:numPr>
              <w:contextualSpacing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>Agreed period</w:t>
            </w:r>
          </w:p>
          <w:p w14:paraId="6BFA3508" w14:textId="77777777" w:rsidR="004F71BA" w:rsidRPr="004F71BA" w:rsidRDefault="004F71BA" w:rsidP="004F71BA">
            <w:pPr>
              <w:numPr>
                <w:ilvl w:val="0"/>
                <w:numId w:val="28"/>
              </w:numPr>
              <w:contextualSpacing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>Review discussions</w:t>
            </w:r>
          </w:p>
        </w:tc>
        <w:tc>
          <w:tcPr>
            <w:tcW w:w="2499" w:type="dxa"/>
          </w:tcPr>
          <w:p w14:paraId="78D16EB6" w14:textId="77777777" w:rsidR="004F71BA" w:rsidRPr="004F71BA" w:rsidRDefault="004F71BA" w:rsidP="004F71BA">
            <w:pPr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>HR and Receiving Service</w:t>
            </w:r>
          </w:p>
        </w:tc>
        <w:tc>
          <w:tcPr>
            <w:tcW w:w="4320" w:type="dxa"/>
          </w:tcPr>
          <w:p w14:paraId="1591313C" w14:textId="77777777" w:rsidR="004F71BA" w:rsidRPr="004F71BA" w:rsidRDefault="004F71BA" w:rsidP="004F71BA">
            <w:pPr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  <w:tc>
          <w:tcPr>
            <w:tcW w:w="1983" w:type="dxa"/>
          </w:tcPr>
          <w:p w14:paraId="7E1A7AAC" w14:textId="77777777" w:rsidR="004F71BA" w:rsidRPr="004F71BA" w:rsidRDefault="004F71BA" w:rsidP="004F71BA">
            <w:pPr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4F71BA" w:rsidRPr="004F71BA" w14:paraId="1606A2DA" w14:textId="77777777">
        <w:tc>
          <w:tcPr>
            <w:tcW w:w="1255" w:type="dxa"/>
          </w:tcPr>
          <w:p w14:paraId="4EE1853B" w14:textId="77777777" w:rsidR="004F71BA" w:rsidRPr="004F71BA" w:rsidRDefault="004F71BA" w:rsidP="004F71BA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  <w:tc>
          <w:tcPr>
            <w:tcW w:w="4611" w:type="dxa"/>
          </w:tcPr>
          <w:p w14:paraId="3CC118FA" w14:textId="77777777" w:rsidR="004F71BA" w:rsidRPr="004F71BA" w:rsidRDefault="004F71BA" w:rsidP="004F71BA">
            <w:pPr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>Follow-up consultation (Post 30 days)</w:t>
            </w:r>
          </w:p>
          <w:p w14:paraId="56E801EA" w14:textId="77777777" w:rsidR="004F71BA" w:rsidRPr="004F71BA" w:rsidRDefault="004F71BA" w:rsidP="004F71BA">
            <w:pPr>
              <w:numPr>
                <w:ilvl w:val="0"/>
                <w:numId w:val="28"/>
              </w:numPr>
              <w:contextualSpacing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 xml:space="preserve">Alternative proposals. </w:t>
            </w:r>
          </w:p>
          <w:p w14:paraId="1D9E58B5" w14:textId="77777777" w:rsidR="004F71BA" w:rsidRPr="004F71BA" w:rsidRDefault="004F71BA" w:rsidP="004F71BA">
            <w:pPr>
              <w:numPr>
                <w:ilvl w:val="0"/>
                <w:numId w:val="28"/>
              </w:numPr>
              <w:contextualSpacing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>Further questions</w:t>
            </w:r>
          </w:p>
          <w:p w14:paraId="5EBDE467" w14:textId="77777777" w:rsidR="004F71BA" w:rsidRPr="004F71BA" w:rsidRDefault="004F71BA" w:rsidP="004F71BA">
            <w:pPr>
              <w:numPr>
                <w:ilvl w:val="0"/>
                <w:numId w:val="28"/>
              </w:numPr>
              <w:contextualSpacing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>Notify employee of Formal Notice issue</w:t>
            </w:r>
          </w:p>
        </w:tc>
        <w:tc>
          <w:tcPr>
            <w:tcW w:w="2499" w:type="dxa"/>
          </w:tcPr>
          <w:p w14:paraId="35F03CA7" w14:textId="77777777" w:rsidR="004F71BA" w:rsidRPr="004F71BA" w:rsidRDefault="004F71BA" w:rsidP="004F71BA">
            <w:pPr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>HR</w:t>
            </w:r>
          </w:p>
        </w:tc>
        <w:tc>
          <w:tcPr>
            <w:tcW w:w="4320" w:type="dxa"/>
          </w:tcPr>
          <w:p w14:paraId="5C53A876" w14:textId="77777777" w:rsidR="004F71BA" w:rsidRPr="004F71BA" w:rsidRDefault="004F71BA" w:rsidP="004F71BA">
            <w:pPr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  <w:tc>
          <w:tcPr>
            <w:tcW w:w="1983" w:type="dxa"/>
          </w:tcPr>
          <w:p w14:paraId="10728FE3" w14:textId="77777777" w:rsidR="004F71BA" w:rsidRPr="004F71BA" w:rsidRDefault="004F71BA" w:rsidP="004F71BA">
            <w:pPr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4F71BA" w:rsidRPr="004F71BA" w14:paraId="2BD17940" w14:textId="77777777">
        <w:tc>
          <w:tcPr>
            <w:tcW w:w="1255" w:type="dxa"/>
          </w:tcPr>
          <w:p w14:paraId="17A23F31" w14:textId="77777777" w:rsidR="004F71BA" w:rsidRPr="004F71BA" w:rsidRDefault="004F71BA" w:rsidP="004F71BA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  <w:tc>
          <w:tcPr>
            <w:tcW w:w="4611" w:type="dxa"/>
          </w:tcPr>
          <w:p w14:paraId="465F04E8" w14:textId="77777777" w:rsidR="004F71BA" w:rsidRPr="004F71BA" w:rsidRDefault="004F71BA" w:rsidP="004F71BA">
            <w:pPr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>Formal notice of redundancy issued with appropriate period of notice as discussed as part of above process. (Stage 8 continues).</w:t>
            </w:r>
          </w:p>
        </w:tc>
        <w:tc>
          <w:tcPr>
            <w:tcW w:w="2499" w:type="dxa"/>
          </w:tcPr>
          <w:p w14:paraId="464C0469" w14:textId="77777777" w:rsidR="004F71BA" w:rsidRPr="004F71BA" w:rsidRDefault="004F71BA" w:rsidP="004F71BA">
            <w:pPr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>HR</w:t>
            </w:r>
          </w:p>
        </w:tc>
        <w:tc>
          <w:tcPr>
            <w:tcW w:w="4320" w:type="dxa"/>
          </w:tcPr>
          <w:p w14:paraId="6D51F899" w14:textId="77777777" w:rsidR="004F71BA" w:rsidRPr="004F71BA" w:rsidRDefault="004F71BA" w:rsidP="004F71BA">
            <w:pPr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  <w:tc>
          <w:tcPr>
            <w:tcW w:w="1983" w:type="dxa"/>
          </w:tcPr>
          <w:p w14:paraId="7CBAF838" w14:textId="77777777" w:rsidR="004F71BA" w:rsidRPr="004F71BA" w:rsidRDefault="004F71BA" w:rsidP="004F71BA">
            <w:pPr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4F71BA" w:rsidRPr="004F71BA" w14:paraId="0E0B2E08" w14:textId="77777777">
        <w:tc>
          <w:tcPr>
            <w:tcW w:w="1255" w:type="dxa"/>
          </w:tcPr>
          <w:p w14:paraId="1E255E4D" w14:textId="77777777" w:rsidR="004F71BA" w:rsidRPr="004F71BA" w:rsidRDefault="004F71BA" w:rsidP="004F71BA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  <w:tc>
          <w:tcPr>
            <w:tcW w:w="4611" w:type="dxa"/>
          </w:tcPr>
          <w:p w14:paraId="1A9F5F7B" w14:textId="77777777" w:rsidR="004F71BA" w:rsidRPr="004F71BA" w:rsidRDefault="004F71BA" w:rsidP="004F71BA">
            <w:pPr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 xml:space="preserve">Final meeting with member of staff. </w:t>
            </w:r>
          </w:p>
        </w:tc>
        <w:tc>
          <w:tcPr>
            <w:tcW w:w="2499" w:type="dxa"/>
          </w:tcPr>
          <w:p w14:paraId="6F1EAB4D" w14:textId="77777777" w:rsidR="004F71BA" w:rsidRPr="004F71BA" w:rsidRDefault="004F71BA" w:rsidP="004F71BA">
            <w:pPr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>HR and Service</w:t>
            </w:r>
          </w:p>
        </w:tc>
        <w:tc>
          <w:tcPr>
            <w:tcW w:w="4320" w:type="dxa"/>
          </w:tcPr>
          <w:p w14:paraId="069E9CF7" w14:textId="77777777" w:rsidR="004F71BA" w:rsidRPr="004F71BA" w:rsidRDefault="004F71BA" w:rsidP="004F71BA">
            <w:pPr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  <w:tc>
          <w:tcPr>
            <w:tcW w:w="1983" w:type="dxa"/>
          </w:tcPr>
          <w:p w14:paraId="0DF86A1A" w14:textId="77777777" w:rsidR="004F71BA" w:rsidRPr="004F71BA" w:rsidRDefault="004F71BA" w:rsidP="004F71BA">
            <w:pPr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4F71BA" w:rsidRPr="004F71BA" w14:paraId="370FD0AE" w14:textId="77777777">
        <w:tc>
          <w:tcPr>
            <w:tcW w:w="1255" w:type="dxa"/>
          </w:tcPr>
          <w:p w14:paraId="5DF1A06D" w14:textId="77777777" w:rsidR="004F71BA" w:rsidRPr="004F71BA" w:rsidRDefault="004F71BA" w:rsidP="004F71BA">
            <w:pPr>
              <w:numPr>
                <w:ilvl w:val="0"/>
                <w:numId w:val="27"/>
              </w:numPr>
              <w:contextualSpacing/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  <w:tc>
          <w:tcPr>
            <w:tcW w:w="4611" w:type="dxa"/>
          </w:tcPr>
          <w:p w14:paraId="19A4664B" w14:textId="77777777" w:rsidR="004F71BA" w:rsidRPr="004F71BA" w:rsidRDefault="004F71BA" w:rsidP="004F71BA">
            <w:pPr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>Processing of terminational paperwork. (Basic SAL information completed by service).</w:t>
            </w:r>
          </w:p>
        </w:tc>
        <w:tc>
          <w:tcPr>
            <w:tcW w:w="2499" w:type="dxa"/>
          </w:tcPr>
          <w:p w14:paraId="52F505EA" w14:textId="77777777" w:rsidR="004F71BA" w:rsidRPr="004F71BA" w:rsidRDefault="004F71BA" w:rsidP="004F71BA">
            <w:pPr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4F71BA">
              <w:rPr>
                <w:rFonts w:ascii="Arial" w:eastAsiaTheme="minorHAnsi" w:hAnsi="Arial" w:cs="Arial"/>
                <w:sz w:val="20"/>
                <w:lang w:eastAsia="en-US"/>
              </w:rPr>
              <w:t>HR</w:t>
            </w:r>
          </w:p>
        </w:tc>
        <w:tc>
          <w:tcPr>
            <w:tcW w:w="4320" w:type="dxa"/>
          </w:tcPr>
          <w:p w14:paraId="1CF0C477" w14:textId="77777777" w:rsidR="004F71BA" w:rsidRPr="004F71BA" w:rsidRDefault="004F71BA" w:rsidP="004F71BA">
            <w:pPr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  <w:tc>
          <w:tcPr>
            <w:tcW w:w="1983" w:type="dxa"/>
          </w:tcPr>
          <w:p w14:paraId="5BADD6A1" w14:textId="77777777" w:rsidR="004F71BA" w:rsidRPr="004F71BA" w:rsidRDefault="004F71BA" w:rsidP="004F71BA">
            <w:pPr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</w:tbl>
    <w:p w14:paraId="057DD121" w14:textId="62816229" w:rsidR="004F71BA" w:rsidRDefault="0092344A" w:rsidP="0092344A">
      <w:pPr>
        <w:pStyle w:val="NoSpacing"/>
        <w:jc w:val="right"/>
        <w:rPr>
          <w:sz w:val="20"/>
          <w:szCs w:val="20"/>
        </w:rPr>
      </w:pPr>
      <w:r>
        <w:rPr>
          <w:sz w:val="20"/>
          <w:szCs w:val="20"/>
        </w:rPr>
        <w:t>Table 5</w:t>
      </w:r>
    </w:p>
    <w:p w14:paraId="584B8FFF" w14:textId="65E010D0" w:rsidR="00B55C17" w:rsidRDefault="00B55C17" w:rsidP="002E7BD0">
      <w:pPr>
        <w:pStyle w:val="NoSpacing"/>
        <w:jc w:val="right"/>
        <w:rPr>
          <w:sz w:val="20"/>
          <w:szCs w:val="20"/>
        </w:rPr>
      </w:pPr>
    </w:p>
    <w:p w14:paraId="5FF1D9F8" w14:textId="5C43FA33" w:rsidR="00B55C17" w:rsidRDefault="00B55C17" w:rsidP="002E7BD0">
      <w:pPr>
        <w:pStyle w:val="NoSpacing"/>
        <w:jc w:val="right"/>
        <w:rPr>
          <w:sz w:val="20"/>
          <w:szCs w:val="20"/>
        </w:rPr>
      </w:pPr>
    </w:p>
    <w:p w14:paraId="36E26114" w14:textId="25B2FAFC" w:rsidR="00B55C17" w:rsidRDefault="00B55C17" w:rsidP="002E7BD0">
      <w:pPr>
        <w:pStyle w:val="NoSpacing"/>
        <w:jc w:val="right"/>
        <w:rPr>
          <w:sz w:val="20"/>
          <w:szCs w:val="20"/>
        </w:rPr>
      </w:pPr>
    </w:p>
    <w:p w14:paraId="5E534A4B" w14:textId="3C561AA7" w:rsidR="00B55C17" w:rsidRDefault="00B55C17" w:rsidP="002E7BD0">
      <w:pPr>
        <w:pStyle w:val="NoSpacing"/>
        <w:jc w:val="right"/>
        <w:rPr>
          <w:sz w:val="20"/>
          <w:szCs w:val="20"/>
        </w:rPr>
      </w:pPr>
    </w:p>
    <w:p w14:paraId="4E4958BA" w14:textId="6EDDAC29" w:rsidR="00B55C17" w:rsidRDefault="00B55C17" w:rsidP="002E7BD0">
      <w:pPr>
        <w:pStyle w:val="NoSpacing"/>
        <w:jc w:val="right"/>
        <w:rPr>
          <w:sz w:val="20"/>
          <w:szCs w:val="20"/>
        </w:rPr>
      </w:pPr>
    </w:p>
    <w:p w14:paraId="4922A3DE" w14:textId="50F568F8" w:rsidR="00B55C17" w:rsidRDefault="00B55C17" w:rsidP="002E7BD0">
      <w:pPr>
        <w:pStyle w:val="NoSpacing"/>
        <w:jc w:val="right"/>
        <w:rPr>
          <w:sz w:val="20"/>
          <w:szCs w:val="20"/>
        </w:rPr>
      </w:pPr>
    </w:p>
    <w:p w14:paraId="71C8CC74" w14:textId="3F588097" w:rsidR="00B55C17" w:rsidRDefault="00B55C17" w:rsidP="002E7BD0">
      <w:pPr>
        <w:pStyle w:val="NoSpacing"/>
        <w:jc w:val="right"/>
        <w:rPr>
          <w:sz w:val="20"/>
          <w:szCs w:val="20"/>
        </w:rPr>
      </w:pPr>
    </w:p>
    <w:p w14:paraId="414A03D6" w14:textId="4F82008F" w:rsidR="00B55C17" w:rsidRDefault="00B55C17" w:rsidP="002E7BD0">
      <w:pPr>
        <w:pStyle w:val="NoSpacing"/>
        <w:jc w:val="right"/>
        <w:rPr>
          <w:sz w:val="20"/>
          <w:szCs w:val="20"/>
        </w:rPr>
      </w:pPr>
    </w:p>
    <w:p w14:paraId="495C434B" w14:textId="738E69D0" w:rsidR="00B55C17" w:rsidRDefault="00B55C17" w:rsidP="002E7BD0">
      <w:pPr>
        <w:pStyle w:val="NoSpacing"/>
        <w:jc w:val="right"/>
        <w:rPr>
          <w:sz w:val="20"/>
          <w:szCs w:val="20"/>
        </w:rPr>
      </w:pPr>
    </w:p>
    <w:p w14:paraId="397E3B09" w14:textId="3AABA674" w:rsidR="00B55C17" w:rsidRDefault="00B55C17" w:rsidP="002E7BD0">
      <w:pPr>
        <w:pStyle w:val="NoSpacing"/>
        <w:jc w:val="right"/>
        <w:rPr>
          <w:sz w:val="20"/>
          <w:szCs w:val="20"/>
        </w:rPr>
      </w:pPr>
    </w:p>
    <w:p w14:paraId="661D9657" w14:textId="181D7E85" w:rsidR="00B55C17" w:rsidRDefault="00B55C17" w:rsidP="002E7BD0">
      <w:pPr>
        <w:pStyle w:val="NoSpacing"/>
        <w:jc w:val="right"/>
        <w:rPr>
          <w:sz w:val="20"/>
          <w:szCs w:val="20"/>
        </w:rPr>
      </w:pPr>
    </w:p>
    <w:p w14:paraId="3E8B71E8" w14:textId="069DB6F6" w:rsidR="00B55C17" w:rsidRDefault="00B55C17" w:rsidP="002E7BD0">
      <w:pPr>
        <w:pStyle w:val="NoSpacing"/>
        <w:jc w:val="right"/>
        <w:rPr>
          <w:sz w:val="20"/>
          <w:szCs w:val="20"/>
        </w:rPr>
      </w:pPr>
    </w:p>
    <w:p w14:paraId="6B80C17F" w14:textId="458C25F0" w:rsidR="00B55C17" w:rsidRDefault="00B55C17" w:rsidP="002E7BD0">
      <w:pPr>
        <w:pStyle w:val="NoSpacing"/>
        <w:jc w:val="right"/>
        <w:rPr>
          <w:sz w:val="20"/>
          <w:szCs w:val="20"/>
        </w:rPr>
      </w:pPr>
    </w:p>
    <w:p w14:paraId="027F2999" w14:textId="5EFBB0DC" w:rsidR="00B07720" w:rsidRDefault="00B07720" w:rsidP="005D68D0">
      <w:pPr>
        <w:pStyle w:val="NoSpacing"/>
        <w:rPr>
          <w:sz w:val="20"/>
          <w:szCs w:val="20"/>
        </w:rPr>
      </w:pPr>
    </w:p>
    <w:sectPr w:rsidR="00B07720" w:rsidSect="001C6B8E">
      <w:pgSz w:w="11906" w:h="16838"/>
      <w:pgMar w:top="993" w:right="1080" w:bottom="851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82BE0" w14:textId="77777777" w:rsidR="005949FE" w:rsidRDefault="005949FE" w:rsidP="00890E32">
      <w:r>
        <w:separator/>
      </w:r>
    </w:p>
  </w:endnote>
  <w:endnote w:type="continuationSeparator" w:id="0">
    <w:p w14:paraId="39BC1A51" w14:textId="77777777" w:rsidR="005949FE" w:rsidRDefault="005949FE" w:rsidP="00890E32">
      <w:r>
        <w:continuationSeparator/>
      </w:r>
    </w:p>
  </w:endnote>
  <w:endnote w:type="continuationNotice" w:id="1">
    <w:p w14:paraId="43AC6917" w14:textId="77777777" w:rsidR="005949FE" w:rsidRDefault="005949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FDB88" w14:textId="77777777" w:rsidR="005949FE" w:rsidRDefault="005949FE" w:rsidP="00890E32">
      <w:r>
        <w:separator/>
      </w:r>
    </w:p>
  </w:footnote>
  <w:footnote w:type="continuationSeparator" w:id="0">
    <w:p w14:paraId="6B816564" w14:textId="77777777" w:rsidR="005949FE" w:rsidRDefault="005949FE" w:rsidP="00890E32">
      <w:r>
        <w:continuationSeparator/>
      </w:r>
    </w:p>
  </w:footnote>
  <w:footnote w:type="continuationNotice" w:id="1">
    <w:p w14:paraId="61B2C7A4" w14:textId="77777777" w:rsidR="005949FE" w:rsidRDefault="005949FE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xiQLWxq" int2:invalidationBookmarkName="" int2:hashCode="2NsFG74bPWqEVb" int2:id="AVGKfL8n">
      <int2:state int2:value="Rejected" int2:type="AugLoop_Text_Critique"/>
    </int2:bookmark>
    <int2:bookmark int2:bookmarkName="_Int_3QzYGjlq" int2:invalidationBookmarkName="" int2:hashCode="200zBXk1JyOeEF" int2:id="BqAlcSW9">
      <int2:state int2:value="Rejected" int2:type="AugLoop_Text_Critique"/>
    </int2:bookmark>
    <int2:bookmark int2:bookmarkName="_Int_olbQNSeV" int2:invalidationBookmarkName="" int2:hashCode="d4ZX/6k2XVJ7ib" int2:id="Dbtdnj8L">
      <int2:state int2:value="Rejected" int2:type="AugLoop_Text_Critique"/>
    </int2:bookmark>
    <int2:bookmark int2:bookmarkName="_Int_KFBvb7Al" int2:invalidationBookmarkName="" int2:hashCode="VAyYq1gCpKH9Sr" int2:id="koxKn1gI">
      <int2:state int2:value="Rejected" int2:type="AugLoop_Text_Critique"/>
    </int2:bookmark>
    <int2:bookmark int2:bookmarkName="_Int_MdnRwPsj" int2:invalidationBookmarkName="" int2:hashCode="RoHRJMxsS3O6q/" int2:id="kxRTQAUO">
      <int2:state int2:value="Rejected" int2:type="AugLoop_Text_Critique"/>
    </int2:bookmark>
    <int2:bookmark int2:bookmarkName="_Int_VdwZcDbF" int2:invalidationBookmarkName="" int2:hashCode="qFsjbacHMXZJJC" int2:id="wNydpW2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7E2A6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19275C"/>
    <w:multiLevelType w:val="multilevel"/>
    <w:tmpl w:val="645EFC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5F77B47"/>
    <w:multiLevelType w:val="hybridMultilevel"/>
    <w:tmpl w:val="66262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E0B93"/>
    <w:multiLevelType w:val="hybridMultilevel"/>
    <w:tmpl w:val="EF4A8C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54345D"/>
    <w:multiLevelType w:val="hybridMultilevel"/>
    <w:tmpl w:val="21B8EE28"/>
    <w:lvl w:ilvl="0" w:tplc="02ACFE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A121A"/>
    <w:multiLevelType w:val="hybridMultilevel"/>
    <w:tmpl w:val="3C6685C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2E678C3"/>
    <w:multiLevelType w:val="hybridMultilevel"/>
    <w:tmpl w:val="18D4BAF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86133"/>
    <w:multiLevelType w:val="hybridMultilevel"/>
    <w:tmpl w:val="63F07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D69B0"/>
    <w:multiLevelType w:val="hybridMultilevel"/>
    <w:tmpl w:val="974EF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D460F"/>
    <w:multiLevelType w:val="hybridMultilevel"/>
    <w:tmpl w:val="E5AEDD1A"/>
    <w:lvl w:ilvl="0" w:tplc="665AE6F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C90B0A"/>
    <w:multiLevelType w:val="multilevel"/>
    <w:tmpl w:val="9A869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 w15:restartNumberingAfterBreak="0">
    <w:nsid w:val="39646CDB"/>
    <w:multiLevelType w:val="hybridMultilevel"/>
    <w:tmpl w:val="6C6AA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F7EE1"/>
    <w:multiLevelType w:val="hybridMultilevel"/>
    <w:tmpl w:val="C0622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6282E"/>
    <w:multiLevelType w:val="multilevel"/>
    <w:tmpl w:val="F40E617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 w15:restartNumberingAfterBreak="0">
    <w:nsid w:val="474F63C8"/>
    <w:multiLevelType w:val="hybridMultilevel"/>
    <w:tmpl w:val="B522570E"/>
    <w:lvl w:ilvl="0" w:tplc="665AE6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B25C4"/>
    <w:multiLevelType w:val="hybridMultilevel"/>
    <w:tmpl w:val="23A25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101A5"/>
    <w:multiLevelType w:val="hybridMultilevel"/>
    <w:tmpl w:val="8EAE136C"/>
    <w:lvl w:ilvl="0" w:tplc="665AE6F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816E14"/>
    <w:multiLevelType w:val="hybridMultilevel"/>
    <w:tmpl w:val="8D1CC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90C81"/>
    <w:multiLevelType w:val="hybridMultilevel"/>
    <w:tmpl w:val="DBBC473C"/>
    <w:lvl w:ilvl="0" w:tplc="665AE6F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BA10B8"/>
    <w:multiLevelType w:val="hybridMultilevel"/>
    <w:tmpl w:val="17A0D9D4"/>
    <w:lvl w:ilvl="0" w:tplc="665AE6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739A6"/>
    <w:multiLevelType w:val="hybridMultilevel"/>
    <w:tmpl w:val="18D4BAF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A54E2"/>
    <w:multiLevelType w:val="multilevel"/>
    <w:tmpl w:val="F40E617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2" w15:restartNumberingAfterBreak="0">
    <w:nsid w:val="6363D86A"/>
    <w:multiLevelType w:val="hybridMultilevel"/>
    <w:tmpl w:val="FFFFFFFF"/>
    <w:lvl w:ilvl="0" w:tplc="B20E6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7AB7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9CE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B27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B42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C2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621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C5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49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11722"/>
    <w:multiLevelType w:val="hybridMultilevel"/>
    <w:tmpl w:val="3BCEB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A34D5"/>
    <w:multiLevelType w:val="hybridMultilevel"/>
    <w:tmpl w:val="2F20305E"/>
    <w:lvl w:ilvl="0" w:tplc="471436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570822"/>
    <w:multiLevelType w:val="hybridMultilevel"/>
    <w:tmpl w:val="4058B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36691"/>
    <w:multiLevelType w:val="hybridMultilevel"/>
    <w:tmpl w:val="11E25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101C0"/>
    <w:multiLevelType w:val="hybridMultilevel"/>
    <w:tmpl w:val="B172E56C"/>
    <w:lvl w:ilvl="0" w:tplc="665AE6F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FA64E38"/>
    <w:multiLevelType w:val="multilevel"/>
    <w:tmpl w:val="ED04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1484680">
    <w:abstractNumId w:val="22"/>
  </w:num>
  <w:num w:numId="2" w16cid:durableId="1229729309">
    <w:abstractNumId w:val="21"/>
  </w:num>
  <w:num w:numId="3" w16cid:durableId="623078614">
    <w:abstractNumId w:val="14"/>
  </w:num>
  <w:num w:numId="4" w16cid:durableId="2113744728">
    <w:abstractNumId w:val="17"/>
  </w:num>
  <w:num w:numId="5" w16cid:durableId="48110658">
    <w:abstractNumId w:val="20"/>
  </w:num>
  <w:num w:numId="6" w16cid:durableId="1442996549">
    <w:abstractNumId w:val="25"/>
  </w:num>
  <w:num w:numId="7" w16cid:durableId="1246450602">
    <w:abstractNumId w:val="3"/>
  </w:num>
  <w:num w:numId="8" w16cid:durableId="1235513272">
    <w:abstractNumId w:val="28"/>
  </w:num>
  <w:num w:numId="9" w16cid:durableId="2043748559">
    <w:abstractNumId w:val="11"/>
  </w:num>
  <w:num w:numId="10" w16cid:durableId="1081373116">
    <w:abstractNumId w:val="15"/>
  </w:num>
  <w:num w:numId="11" w16cid:durableId="1837651831">
    <w:abstractNumId w:val="0"/>
    <w:lvlOverride w:ilvl="0">
      <w:startOverride w:val="1"/>
    </w:lvlOverride>
  </w:num>
  <w:num w:numId="12" w16cid:durableId="867327618">
    <w:abstractNumId w:val="26"/>
  </w:num>
  <w:num w:numId="13" w16cid:durableId="779446297">
    <w:abstractNumId w:val="13"/>
  </w:num>
  <w:num w:numId="14" w16cid:durableId="1128091154">
    <w:abstractNumId w:val="10"/>
  </w:num>
  <w:num w:numId="15" w16cid:durableId="658313592">
    <w:abstractNumId w:val="5"/>
  </w:num>
  <w:num w:numId="16" w16cid:durableId="700669119">
    <w:abstractNumId w:val="4"/>
  </w:num>
  <w:num w:numId="17" w16cid:durableId="1128082809">
    <w:abstractNumId w:val="8"/>
  </w:num>
  <w:num w:numId="18" w16cid:durableId="162278750">
    <w:abstractNumId w:val="23"/>
  </w:num>
  <w:num w:numId="19" w16cid:durableId="134639844">
    <w:abstractNumId w:val="7"/>
  </w:num>
  <w:num w:numId="20" w16cid:durableId="1448768754">
    <w:abstractNumId w:val="12"/>
  </w:num>
  <w:num w:numId="21" w16cid:durableId="1632979844">
    <w:abstractNumId w:val="18"/>
  </w:num>
  <w:num w:numId="22" w16cid:durableId="1210456757">
    <w:abstractNumId w:val="19"/>
  </w:num>
  <w:num w:numId="23" w16cid:durableId="2050563620">
    <w:abstractNumId w:val="27"/>
  </w:num>
  <w:num w:numId="24" w16cid:durableId="1751846516">
    <w:abstractNumId w:val="9"/>
  </w:num>
  <w:num w:numId="25" w16cid:durableId="270432742">
    <w:abstractNumId w:val="16"/>
  </w:num>
  <w:num w:numId="26" w16cid:durableId="344406825">
    <w:abstractNumId w:val="6"/>
  </w:num>
  <w:num w:numId="27" w16cid:durableId="873157829">
    <w:abstractNumId w:val="2"/>
  </w:num>
  <w:num w:numId="28" w16cid:durableId="1557354868">
    <w:abstractNumId w:val="24"/>
  </w:num>
  <w:num w:numId="29" w16cid:durableId="76370254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EB"/>
    <w:rsid w:val="00000844"/>
    <w:rsid w:val="00001ACD"/>
    <w:rsid w:val="00001D16"/>
    <w:rsid w:val="00002094"/>
    <w:rsid w:val="00005ECF"/>
    <w:rsid w:val="00006130"/>
    <w:rsid w:val="00006750"/>
    <w:rsid w:val="00006B70"/>
    <w:rsid w:val="00010BC0"/>
    <w:rsid w:val="000140DA"/>
    <w:rsid w:val="000171D0"/>
    <w:rsid w:val="000173BE"/>
    <w:rsid w:val="000213FE"/>
    <w:rsid w:val="00022FC7"/>
    <w:rsid w:val="00023AA3"/>
    <w:rsid w:val="00024A9E"/>
    <w:rsid w:val="00025285"/>
    <w:rsid w:val="00025E94"/>
    <w:rsid w:val="00025EA0"/>
    <w:rsid w:val="00032BF7"/>
    <w:rsid w:val="00033D17"/>
    <w:rsid w:val="00033EB7"/>
    <w:rsid w:val="00036878"/>
    <w:rsid w:val="000372FF"/>
    <w:rsid w:val="0003752C"/>
    <w:rsid w:val="00041283"/>
    <w:rsid w:val="00041A53"/>
    <w:rsid w:val="00044C06"/>
    <w:rsid w:val="000465E7"/>
    <w:rsid w:val="00046EC9"/>
    <w:rsid w:val="00047D8F"/>
    <w:rsid w:val="00054524"/>
    <w:rsid w:val="00055F80"/>
    <w:rsid w:val="000565A6"/>
    <w:rsid w:val="00060361"/>
    <w:rsid w:val="000625D1"/>
    <w:rsid w:val="00062D72"/>
    <w:rsid w:val="00065EB4"/>
    <w:rsid w:val="00067BBE"/>
    <w:rsid w:val="00071269"/>
    <w:rsid w:val="00072A6C"/>
    <w:rsid w:val="00073691"/>
    <w:rsid w:val="0008193A"/>
    <w:rsid w:val="00082FB1"/>
    <w:rsid w:val="0008384A"/>
    <w:rsid w:val="000845E9"/>
    <w:rsid w:val="00091042"/>
    <w:rsid w:val="00091063"/>
    <w:rsid w:val="00092515"/>
    <w:rsid w:val="00092661"/>
    <w:rsid w:val="00092DA4"/>
    <w:rsid w:val="00092EEC"/>
    <w:rsid w:val="000938E4"/>
    <w:rsid w:val="00093D33"/>
    <w:rsid w:val="00094FE7"/>
    <w:rsid w:val="00095132"/>
    <w:rsid w:val="00096B74"/>
    <w:rsid w:val="000A455C"/>
    <w:rsid w:val="000A4759"/>
    <w:rsid w:val="000A4EEE"/>
    <w:rsid w:val="000A72CE"/>
    <w:rsid w:val="000A74A4"/>
    <w:rsid w:val="000B0F94"/>
    <w:rsid w:val="000B1166"/>
    <w:rsid w:val="000B203F"/>
    <w:rsid w:val="000B2D46"/>
    <w:rsid w:val="000B339E"/>
    <w:rsid w:val="000B389E"/>
    <w:rsid w:val="000B3A00"/>
    <w:rsid w:val="000B3CD9"/>
    <w:rsid w:val="000B57F2"/>
    <w:rsid w:val="000C1B9F"/>
    <w:rsid w:val="000C3524"/>
    <w:rsid w:val="000C365E"/>
    <w:rsid w:val="000C5004"/>
    <w:rsid w:val="000C569A"/>
    <w:rsid w:val="000C58AB"/>
    <w:rsid w:val="000C694E"/>
    <w:rsid w:val="000C6C6A"/>
    <w:rsid w:val="000C6CC8"/>
    <w:rsid w:val="000D05C1"/>
    <w:rsid w:val="000D0ED5"/>
    <w:rsid w:val="000D2D26"/>
    <w:rsid w:val="000D39C2"/>
    <w:rsid w:val="000D3EF7"/>
    <w:rsid w:val="000D5DE0"/>
    <w:rsid w:val="000D721D"/>
    <w:rsid w:val="000E18CA"/>
    <w:rsid w:val="000E27D6"/>
    <w:rsid w:val="000E55E8"/>
    <w:rsid w:val="000E6B5F"/>
    <w:rsid w:val="000E716E"/>
    <w:rsid w:val="000E785E"/>
    <w:rsid w:val="000E7F04"/>
    <w:rsid w:val="000F0479"/>
    <w:rsid w:val="000F140A"/>
    <w:rsid w:val="000F25C6"/>
    <w:rsid w:val="000F2C8A"/>
    <w:rsid w:val="000F4756"/>
    <w:rsid w:val="000F4F7F"/>
    <w:rsid w:val="000F532C"/>
    <w:rsid w:val="000F5D1A"/>
    <w:rsid w:val="000F6E70"/>
    <w:rsid w:val="001007D1"/>
    <w:rsid w:val="00101029"/>
    <w:rsid w:val="001018A7"/>
    <w:rsid w:val="00102C41"/>
    <w:rsid w:val="0010457D"/>
    <w:rsid w:val="00110D50"/>
    <w:rsid w:val="001115E3"/>
    <w:rsid w:val="00112AA5"/>
    <w:rsid w:val="00112B81"/>
    <w:rsid w:val="00114ACA"/>
    <w:rsid w:val="001161CB"/>
    <w:rsid w:val="00116657"/>
    <w:rsid w:val="001176A2"/>
    <w:rsid w:val="00117E64"/>
    <w:rsid w:val="00122762"/>
    <w:rsid w:val="00122D30"/>
    <w:rsid w:val="001235EB"/>
    <w:rsid w:val="00123836"/>
    <w:rsid w:val="001269D2"/>
    <w:rsid w:val="00126E96"/>
    <w:rsid w:val="00127194"/>
    <w:rsid w:val="00130A7A"/>
    <w:rsid w:val="00130AC9"/>
    <w:rsid w:val="00132568"/>
    <w:rsid w:val="001328A9"/>
    <w:rsid w:val="00132BFC"/>
    <w:rsid w:val="00133FC9"/>
    <w:rsid w:val="00134DE0"/>
    <w:rsid w:val="00135C53"/>
    <w:rsid w:val="001421D5"/>
    <w:rsid w:val="0014665F"/>
    <w:rsid w:val="0014791B"/>
    <w:rsid w:val="00151713"/>
    <w:rsid w:val="00151796"/>
    <w:rsid w:val="00151AB8"/>
    <w:rsid w:val="00152766"/>
    <w:rsid w:val="00153138"/>
    <w:rsid w:val="0015693A"/>
    <w:rsid w:val="00156AFE"/>
    <w:rsid w:val="001646D1"/>
    <w:rsid w:val="001724A8"/>
    <w:rsid w:val="00173FFB"/>
    <w:rsid w:val="00174719"/>
    <w:rsid w:val="001750EF"/>
    <w:rsid w:val="00175615"/>
    <w:rsid w:val="0017585C"/>
    <w:rsid w:val="00175ADC"/>
    <w:rsid w:val="001763BA"/>
    <w:rsid w:val="001818FA"/>
    <w:rsid w:val="00181B1C"/>
    <w:rsid w:val="001868D7"/>
    <w:rsid w:val="00187203"/>
    <w:rsid w:val="00187428"/>
    <w:rsid w:val="00191642"/>
    <w:rsid w:val="00192235"/>
    <w:rsid w:val="00193E2A"/>
    <w:rsid w:val="00193FE5"/>
    <w:rsid w:val="001943B6"/>
    <w:rsid w:val="001972CE"/>
    <w:rsid w:val="0019768D"/>
    <w:rsid w:val="001A1AD5"/>
    <w:rsid w:val="001A2559"/>
    <w:rsid w:val="001A38BF"/>
    <w:rsid w:val="001A499A"/>
    <w:rsid w:val="001A4F74"/>
    <w:rsid w:val="001A5C7B"/>
    <w:rsid w:val="001A7E3C"/>
    <w:rsid w:val="001B0133"/>
    <w:rsid w:val="001B25DE"/>
    <w:rsid w:val="001B2C23"/>
    <w:rsid w:val="001B5AA2"/>
    <w:rsid w:val="001B6990"/>
    <w:rsid w:val="001B6F4C"/>
    <w:rsid w:val="001C1239"/>
    <w:rsid w:val="001C15C2"/>
    <w:rsid w:val="001C16B0"/>
    <w:rsid w:val="001C42E7"/>
    <w:rsid w:val="001C44C3"/>
    <w:rsid w:val="001C6B8E"/>
    <w:rsid w:val="001D0C4E"/>
    <w:rsid w:val="001D1012"/>
    <w:rsid w:val="001D1816"/>
    <w:rsid w:val="001D1907"/>
    <w:rsid w:val="001D1A0B"/>
    <w:rsid w:val="001D488A"/>
    <w:rsid w:val="001D4A1A"/>
    <w:rsid w:val="001D53FB"/>
    <w:rsid w:val="001E04BF"/>
    <w:rsid w:val="001E0921"/>
    <w:rsid w:val="001E225B"/>
    <w:rsid w:val="001E4F0C"/>
    <w:rsid w:val="001F0FFA"/>
    <w:rsid w:val="001F11D6"/>
    <w:rsid w:val="001F42CF"/>
    <w:rsid w:val="001F5639"/>
    <w:rsid w:val="00200DEA"/>
    <w:rsid w:val="002047CB"/>
    <w:rsid w:val="00205711"/>
    <w:rsid w:val="002069A5"/>
    <w:rsid w:val="00211351"/>
    <w:rsid w:val="00212442"/>
    <w:rsid w:val="002144D9"/>
    <w:rsid w:val="00214729"/>
    <w:rsid w:val="00214ACB"/>
    <w:rsid w:val="00215DF9"/>
    <w:rsid w:val="00217D2C"/>
    <w:rsid w:val="00217D48"/>
    <w:rsid w:val="002234DF"/>
    <w:rsid w:val="00224BEE"/>
    <w:rsid w:val="0023170B"/>
    <w:rsid w:val="00235226"/>
    <w:rsid w:val="00235928"/>
    <w:rsid w:val="00237A2F"/>
    <w:rsid w:val="002418F2"/>
    <w:rsid w:val="00242AB9"/>
    <w:rsid w:val="00242D08"/>
    <w:rsid w:val="00243C2D"/>
    <w:rsid w:val="00245424"/>
    <w:rsid w:val="002456AA"/>
    <w:rsid w:val="00246F61"/>
    <w:rsid w:val="00251216"/>
    <w:rsid w:val="0025457D"/>
    <w:rsid w:val="00254613"/>
    <w:rsid w:val="00255A9A"/>
    <w:rsid w:val="002579EB"/>
    <w:rsid w:val="00263C01"/>
    <w:rsid w:val="00264D4B"/>
    <w:rsid w:val="00272C6F"/>
    <w:rsid w:val="0027422C"/>
    <w:rsid w:val="00274AC0"/>
    <w:rsid w:val="002762E1"/>
    <w:rsid w:val="00276E59"/>
    <w:rsid w:val="00277BEE"/>
    <w:rsid w:val="00280A81"/>
    <w:rsid w:val="00282005"/>
    <w:rsid w:val="00283441"/>
    <w:rsid w:val="00285EEC"/>
    <w:rsid w:val="00287D7C"/>
    <w:rsid w:val="00292E0B"/>
    <w:rsid w:val="0029395B"/>
    <w:rsid w:val="00295F1D"/>
    <w:rsid w:val="002977FA"/>
    <w:rsid w:val="002A037F"/>
    <w:rsid w:val="002A1234"/>
    <w:rsid w:val="002A154E"/>
    <w:rsid w:val="002A16F6"/>
    <w:rsid w:val="002A1989"/>
    <w:rsid w:val="002A6D7D"/>
    <w:rsid w:val="002A7712"/>
    <w:rsid w:val="002A7849"/>
    <w:rsid w:val="002A7D8F"/>
    <w:rsid w:val="002B4541"/>
    <w:rsid w:val="002B4C07"/>
    <w:rsid w:val="002B5382"/>
    <w:rsid w:val="002B6146"/>
    <w:rsid w:val="002B6878"/>
    <w:rsid w:val="002B6DFC"/>
    <w:rsid w:val="002C0D11"/>
    <w:rsid w:val="002C179C"/>
    <w:rsid w:val="002C3B0D"/>
    <w:rsid w:val="002C653A"/>
    <w:rsid w:val="002C6734"/>
    <w:rsid w:val="002C6AC7"/>
    <w:rsid w:val="002C745F"/>
    <w:rsid w:val="002C7B94"/>
    <w:rsid w:val="002D1047"/>
    <w:rsid w:val="002D1893"/>
    <w:rsid w:val="002D27D0"/>
    <w:rsid w:val="002D2822"/>
    <w:rsid w:val="002D3A47"/>
    <w:rsid w:val="002D50DE"/>
    <w:rsid w:val="002D54CC"/>
    <w:rsid w:val="002E45A3"/>
    <w:rsid w:val="002E6E05"/>
    <w:rsid w:val="002E7324"/>
    <w:rsid w:val="002E7BD0"/>
    <w:rsid w:val="002F06C9"/>
    <w:rsid w:val="002F08A1"/>
    <w:rsid w:val="002F3C93"/>
    <w:rsid w:val="002F3F75"/>
    <w:rsid w:val="002F4AFC"/>
    <w:rsid w:val="002F5657"/>
    <w:rsid w:val="002F7264"/>
    <w:rsid w:val="002F78DF"/>
    <w:rsid w:val="002F7E38"/>
    <w:rsid w:val="003037E5"/>
    <w:rsid w:val="00303A9B"/>
    <w:rsid w:val="00303AB6"/>
    <w:rsid w:val="0030464E"/>
    <w:rsid w:val="003123A0"/>
    <w:rsid w:val="00312474"/>
    <w:rsid w:val="00312560"/>
    <w:rsid w:val="00317171"/>
    <w:rsid w:val="00322420"/>
    <w:rsid w:val="00324E7C"/>
    <w:rsid w:val="00326B2A"/>
    <w:rsid w:val="00327567"/>
    <w:rsid w:val="003307AB"/>
    <w:rsid w:val="003333F1"/>
    <w:rsid w:val="00333A9A"/>
    <w:rsid w:val="0033427C"/>
    <w:rsid w:val="00334457"/>
    <w:rsid w:val="00334B99"/>
    <w:rsid w:val="00336862"/>
    <w:rsid w:val="00342D0C"/>
    <w:rsid w:val="00344EEB"/>
    <w:rsid w:val="00347B95"/>
    <w:rsid w:val="00347C19"/>
    <w:rsid w:val="003525C5"/>
    <w:rsid w:val="0035481B"/>
    <w:rsid w:val="003562E3"/>
    <w:rsid w:val="0035748A"/>
    <w:rsid w:val="003618B8"/>
    <w:rsid w:val="00364445"/>
    <w:rsid w:val="0036577B"/>
    <w:rsid w:val="00365EE8"/>
    <w:rsid w:val="0036631F"/>
    <w:rsid w:val="003702A9"/>
    <w:rsid w:val="00371C72"/>
    <w:rsid w:val="00372468"/>
    <w:rsid w:val="003729B7"/>
    <w:rsid w:val="003731EF"/>
    <w:rsid w:val="00373F17"/>
    <w:rsid w:val="00375106"/>
    <w:rsid w:val="003752B8"/>
    <w:rsid w:val="0037554F"/>
    <w:rsid w:val="00377084"/>
    <w:rsid w:val="00377C9D"/>
    <w:rsid w:val="00377E9E"/>
    <w:rsid w:val="0038045E"/>
    <w:rsid w:val="00380DFE"/>
    <w:rsid w:val="00381790"/>
    <w:rsid w:val="0038233B"/>
    <w:rsid w:val="00382DAC"/>
    <w:rsid w:val="003850D3"/>
    <w:rsid w:val="003852B7"/>
    <w:rsid w:val="00385A9C"/>
    <w:rsid w:val="00387941"/>
    <w:rsid w:val="00387EB3"/>
    <w:rsid w:val="003928EA"/>
    <w:rsid w:val="00393361"/>
    <w:rsid w:val="00394EBE"/>
    <w:rsid w:val="0039675E"/>
    <w:rsid w:val="003A1E31"/>
    <w:rsid w:val="003A3C5A"/>
    <w:rsid w:val="003A43C1"/>
    <w:rsid w:val="003A5B8B"/>
    <w:rsid w:val="003B3442"/>
    <w:rsid w:val="003B44CA"/>
    <w:rsid w:val="003B45AB"/>
    <w:rsid w:val="003B5E6A"/>
    <w:rsid w:val="003B693D"/>
    <w:rsid w:val="003B7C14"/>
    <w:rsid w:val="003C26E9"/>
    <w:rsid w:val="003C51BC"/>
    <w:rsid w:val="003C5CA1"/>
    <w:rsid w:val="003C7969"/>
    <w:rsid w:val="003D2E2F"/>
    <w:rsid w:val="003D51DF"/>
    <w:rsid w:val="003D55F7"/>
    <w:rsid w:val="003D6641"/>
    <w:rsid w:val="003D691E"/>
    <w:rsid w:val="003D7D58"/>
    <w:rsid w:val="003E176C"/>
    <w:rsid w:val="003E191A"/>
    <w:rsid w:val="003E19FF"/>
    <w:rsid w:val="003E6C16"/>
    <w:rsid w:val="003E71AB"/>
    <w:rsid w:val="003E7916"/>
    <w:rsid w:val="003F0C32"/>
    <w:rsid w:val="003F194A"/>
    <w:rsid w:val="003F4B89"/>
    <w:rsid w:val="003F59AC"/>
    <w:rsid w:val="003F7779"/>
    <w:rsid w:val="003F7F83"/>
    <w:rsid w:val="00402005"/>
    <w:rsid w:val="00403B31"/>
    <w:rsid w:val="0040413B"/>
    <w:rsid w:val="00405ABA"/>
    <w:rsid w:val="004067F5"/>
    <w:rsid w:val="00407475"/>
    <w:rsid w:val="00407C35"/>
    <w:rsid w:val="00410541"/>
    <w:rsid w:val="00410832"/>
    <w:rsid w:val="00410A53"/>
    <w:rsid w:val="00411514"/>
    <w:rsid w:val="00411BF0"/>
    <w:rsid w:val="00414132"/>
    <w:rsid w:val="004148DC"/>
    <w:rsid w:val="004160EF"/>
    <w:rsid w:val="004163AF"/>
    <w:rsid w:val="004200B9"/>
    <w:rsid w:val="00421D06"/>
    <w:rsid w:val="00423817"/>
    <w:rsid w:val="0042433C"/>
    <w:rsid w:val="004253B5"/>
    <w:rsid w:val="00425EEE"/>
    <w:rsid w:val="0042659A"/>
    <w:rsid w:val="004277D0"/>
    <w:rsid w:val="00427E12"/>
    <w:rsid w:val="004307BD"/>
    <w:rsid w:val="00430CAC"/>
    <w:rsid w:val="00431E34"/>
    <w:rsid w:val="004363E8"/>
    <w:rsid w:val="004412FB"/>
    <w:rsid w:val="00441968"/>
    <w:rsid w:val="00442568"/>
    <w:rsid w:val="00442CB3"/>
    <w:rsid w:val="00442F00"/>
    <w:rsid w:val="004445E0"/>
    <w:rsid w:val="004477D8"/>
    <w:rsid w:val="004535E3"/>
    <w:rsid w:val="00453E3F"/>
    <w:rsid w:val="004543B6"/>
    <w:rsid w:val="00454A4D"/>
    <w:rsid w:val="004569CF"/>
    <w:rsid w:val="00457D63"/>
    <w:rsid w:val="00457E44"/>
    <w:rsid w:val="00461B2C"/>
    <w:rsid w:val="0046660F"/>
    <w:rsid w:val="00467562"/>
    <w:rsid w:val="0047294C"/>
    <w:rsid w:val="004757B4"/>
    <w:rsid w:val="00476DEE"/>
    <w:rsid w:val="00476E83"/>
    <w:rsid w:val="00477212"/>
    <w:rsid w:val="00480939"/>
    <w:rsid w:val="00482392"/>
    <w:rsid w:val="00485B17"/>
    <w:rsid w:val="00485F6B"/>
    <w:rsid w:val="004871C4"/>
    <w:rsid w:val="004876EC"/>
    <w:rsid w:val="0049024B"/>
    <w:rsid w:val="00490A83"/>
    <w:rsid w:val="00491C76"/>
    <w:rsid w:val="00492956"/>
    <w:rsid w:val="00493046"/>
    <w:rsid w:val="004944B6"/>
    <w:rsid w:val="004949A0"/>
    <w:rsid w:val="00495499"/>
    <w:rsid w:val="0049578A"/>
    <w:rsid w:val="00496B84"/>
    <w:rsid w:val="004A1367"/>
    <w:rsid w:val="004A651A"/>
    <w:rsid w:val="004B0DA4"/>
    <w:rsid w:val="004B1A2A"/>
    <w:rsid w:val="004B1D48"/>
    <w:rsid w:val="004B1D59"/>
    <w:rsid w:val="004B55E6"/>
    <w:rsid w:val="004B760B"/>
    <w:rsid w:val="004B78EB"/>
    <w:rsid w:val="004B7F43"/>
    <w:rsid w:val="004C0156"/>
    <w:rsid w:val="004C1BF9"/>
    <w:rsid w:val="004C2F9A"/>
    <w:rsid w:val="004C428E"/>
    <w:rsid w:val="004C4DCB"/>
    <w:rsid w:val="004C50CF"/>
    <w:rsid w:val="004C52E1"/>
    <w:rsid w:val="004C714E"/>
    <w:rsid w:val="004C734D"/>
    <w:rsid w:val="004C7E38"/>
    <w:rsid w:val="004D05D2"/>
    <w:rsid w:val="004D31DD"/>
    <w:rsid w:val="004E1B47"/>
    <w:rsid w:val="004E4360"/>
    <w:rsid w:val="004E5830"/>
    <w:rsid w:val="004E65EC"/>
    <w:rsid w:val="004E6FBE"/>
    <w:rsid w:val="004F1D39"/>
    <w:rsid w:val="004F2322"/>
    <w:rsid w:val="004F4F0C"/>
    <w:rsid w:val="004F4F22"/>
    <w:rsid w:val="004F5F84"/>
    <w:rsid w:val="004F6238"/>
    <w:rsid w:val="004F71BA"/>
    <w:rsid w:val="004F73A1"/>
    <w:rsid w:val="005003F6"/>
    <w:rsid w:val="00501A21"/>
    <w:rsid w:val="005020C1"/>
    <w:rsid w:val="0050262C"/>
    <w:rsid w:val="00502DE3"/>
    <w:rsid w:val="005039FF"/>
    <w:rsid w:val="00503A19"/>
    <w:rsid w:val="00505074"/>
    <w:rsid w:val="00505701"/>
    <w:rsid w:val="00505743"/>
    <w:rsid w:val="00506956"/>
    <w:rsid w:val="00506F13"/>
    <w:rsid w:val="0050719D"/>
    <w:rsid w:val="00510055"/>
    <w:rsid w:val="00510417"/>
    <w:rsid w:val="00510BD4"/>
    <w:rsid w:val="00511CF7"/>
    <w:rsid w:val="00512279"/>
    <w:rsid w:val="005136BC"/>
    <w:rsid w:val="00513F2A"/>
    <w:rsid w:val="00516AFE"/>
    <w:rsid w:val="00522399"/>
    <w:rsid w:val="00523ACC"/>
    <w:rsid w:val="00524EB1"/>
    <w:rsid w:val="005276CD"/>
    <w:rsid w:val="005322E6"/>
    <w:rsid w:val="00535529"/>
    <w:rsid w:val="00535C4E"/>
    <w:rsid w:val="00537589"/>
    <w:rsid w:val="00537C3A"/>
    <w:rsid w:val="005400A1"/>
    <w:rsid w:val="0054025B"/>
    <w:rsid w:val="005407B7"/>
    <w:rsid w:val="005430ED"/>
    <w:rsid w:val="00544CB5"/>
    <w:rsid w:val="0054544E"/>
    <w:rsid w:val="00547958"/>
    <w:rsid w:val="00547C9E"/>
    <w:rsid w:val="00550B6F"/>
    <w:rsid w:val="00551B42"/>
    <w:rsid w:val="00552132"/>
    <w:rsid w:val="005549A9"/>
    <w:rsid w:val="00555805"/>
    <w:rsid w:val="00555F9F"/>
    <w:rsid w:val="005570E5"/>
    <w:rsid w:val="00557B38"/>
    <w:rsid w:val="00557C1C"/>
    <w:rsid w:val="00557F01"/>
    <w:rsid w:val="00560ED8"/>
    <w:rsid w:val="0056302B"/>
    <w:rsid w:val="0056354F"/>
    <w:rsid w:val="00564C21"/>
    <w:rsid w:val="00564FB4"/>
    <w:rsid w:val="0056536B"/>
    <w:rsid w:val="005666E6"/>
    <w:rsid w:val="00566883"/>
    <w:rsid w:val="00567A3A"/>
    <w:rsid w:val="005702C2"/>
    <w:rsid w:val="00572930"/>
    <w:rsid w:val="00572A55"/>
    <w:rsid w:val="005748FE"/>
    <w:rsid w:val="00575599"/>
    <w:rsid w:val="00575F43"/>
    <w:rsid w:val="005775AB"/>
    <w:rsid w:val="00587471"/>
    <w:rsid w:val="00590975"/>
    <w:rsid w:val="005909C6"/>
    <w:rsid w:val="00591FB0"/>
    <w:rsid w:val="00593C21"/>
    <w:rsid w:val="005949FE"/>
    <w:rsid w:val="005955CD"/>
    <w:rsid w:val="0059575D"/>
    <w:rsid w:val="00595FC1"/>
    <w:rsid w:val="00597999"/>
    <w:rsid w:val="00597A79"/>
    <w:rsid w:val="005A0125"/>
    <w:rsid w:val="005A1804"/>
    <w:rsid w:val="005A5188"/>
    <w:rsid w:val="005A60BC"/>
    <w:rsid w:val="005A6313"/>
    <w:rsid w:val="005A636D"/>
    <w:rsid w:val="005A657C"/>
    <w:rsid w:val="005A7A95"/>
    <w:rsid w:val="005A7CC7"/>
    <w:rsid w:val="005B0B11"/>
    <w:rsid w:val="005B1556"/>
    <w:rsid w:val="005B1617"/>
    <w:rsid w:val="005B4D3F"/>
    <w:rsid w:val="005B54BB"/>
    <w:rsid w:val="005C0019"/>
    <w:rsid w:val="005C10E3"/>
    <w:rsid w:val="005C121D"/>
    <w:rsid w:val="005C1B4A"/>
    <w:rsid w:val="005C252A"/>
    <w:rsid w:val="005C7961"/>
    <w:rsid w:val="005D341E"/>
    <w:rsid w:val="005D4ED8"/>
    <w:rsid w:val="005D5B17"/>
    <w:rsid w:val="005D635E"/>
    <w:rsid w:val="005D68D0"/>
    <w:rsid w:val="005E2538"/>
    <w:rsid w:val="005E25B1"/>
    <w:rsid w:val="005E2A3F"/>
    <w:rsid w:val="005E2DC9"/>
    <w:rsid w:val="005E34CA"/>
    <w:rsid w:val="005E566A"/>
    <w:rsid w:val="005E578B"/>
    <w:rsid w:val="005E5A6F"/>
    <w:rsid w:val="005E7F18"/>
    <w:rsid w:val="005F28F6"/>
    <w:rsid w:val="005F3CC9"/>
    <w:rsid w:val="005F468A"/>
    <w:rsid w:val="005F5DE5"/>
    <w:rsid w:val="00601F6D"/>
    <w:rsid w:val="00602197"/>
    <w:rsid w:val="00602E60"/>
    <w:rsid w:val="00602EC2"/>
    <w:rsid w:val="00603992"/>
    <w:rsid w:val="0060499B"/>
    <w:rsid w:val="0060523E"/>
    <w:rsid w:val="006066A0"/>
    <w:rsid w:val="00606915"/>
    <w:rsid w:val="0060695D"/>
    <w:rsid w:val="00610D92"/>
    <w:rsid w:val="0061216D"/>
    <w:rsid w:val="00614641"/>
    <w:rsid w:val="006151A2"/>
    <w:rsid w:val="00616ACA"/>
    <w:rsid w:val="00620F8D"/>
    <w:rsid w:val="00623F45"/>
    <w:rsid w:val="00626ED6"/>
    <w:rsid w:val="0062716E"/>
    <w:rsid w:val="00627A99"/>
    <w:rsid w:val="0063205F"/>
    <w:rsid w:val="006328CB"/>
    <w:rsid w:val="00633802"/>
    <w:rsid w:val="00633DAA"/>
    <w:rsid w:val="00634689"/>
    <w:rsid w:val="00635C6B"/>
    <w:rsid w:val="00636707"/>
    <w:rsid w:val="006367AC"/>
    <w:rsid w:val="0063730A"/>
    <w:rsid w:val="00640214"/>
    <w:rsid w:val="00641422"/>
    <w:rsid w:val="00641A83"/>
    <w:rsid w:val="00642419"/>
    <w:rsid w:val="00643541"/>
    <w:rsid w:val="00644777"/>
    <w:rsid w:val="00645649"/>
    <w:rsid w:val="00645676"/>
    <w:rsid w:val="00647147"/>
    <w:rsid w:val="00650420"/>
    <w:rsid w:val="00650EE5"/>
    <w:rsid w:val="0065208E"/>
    <w:rsid w:val="0065234C"/>
    <w:rsid w:val="00652940"/>
    <w:rsid w:val="00653736"/>
    <w:rsid w:val="006542AA"/>
    <w:rsid w:val="00654631"/>
    <w:rsid w:val="006549BB"/>
    <w:rsid w:val="00654F85"/>
    <w:rsid w:val="006566FB"/>
    <w:rsid w:val="00656E3B"/>
    <w:rsid w:val="00662136"/>
    <w:rsid w:val="006622D8"/>
    <w:rsid w:val="00666CAD"/>
    <w:rsid w:val="00667289"/>
    <w:rsid w:val="00671672"/>
    <w:rsid w:val="00671739"/>
    <w:rsid w:val="00672158"/>
    <w:rsid w:val="00675554"/>
    <w:rsid w:val="00680BD2"/>
    <w:rsid w:val="0068223F"/>
    <w:rsid w:val="00683A34"/>
    <w:rsid w:val="00684B46"/>
    <w:rsid w:val="006867F1"/>
    <w:rsid w:val="00687B2E"/>
    <w:rsid w:val="0069472D"/>
    <w:rsid w:val="00694D00"/>
    <w:rsid w:val="00694E12"/>
    <w:rsid w:val="00695D6E"/>
    <w:rsid w:val="0069734C"/>
    <w:rsid w:val="006A06C5"/>
    <w:rsid w:val="006A13E0"/>
    <w:rsid w:val="006A56E6"/>
    <w:rsid w:val="006A7056"/>
    <w:rsid w:val="006B118A"/>
    <w:rsid w:val="006B119D"/>
    <w:rsid w:val="006B1EA8"/>
    <w:rsid w:val="006B285D"/>
    <w:rsid w:val="006B3920"/>
    <w:rsid w:val="006B3DE6"/>
    <w:rsid w:val="006B7D5B"/>
    <w:rsid w:val="006C03CD"/>
    <w:rsid w:val="006C0BD0"/>
    <w:rsid w:val="006C1663"/>
    <w:rsid w:val="006C1ADA"/>
    <w:rsid w:val="006C2604"/>
    <w:rsid w:val="006D0D6A"/>
    <w:rsid w:val="006D18FE"/>
    <w:rsid w:val="006D2F92"/>
    <w:rsid w:val="006D308B"/>
    <w:rsid w:val="006D49C8"/>
    <w:rsid w:val="006D539F"/>
    <w:rsid w:val="006D77E9"/>
    <w:rsid w:val="006E01CB"/>
    <w:rsid w:val="006E0EC4"/>
    <w:rsid w:val="006E43C7"/>
    <w:rsid w:val="006E4820"/>
    <w:rsid w:val="006E4CB1"/>
    <w:rsid w:val="006E6ED7"/>
    <w:rsid w:val="006E7D27"/>
    <w:rsid w:val="006F03D8"/>
    <w:rsid w:val="006F1C5B"/>
    <w:rsid w:val="006F1D2A"/>
    <w:rsid w:val="006F3CD2"/>
    <w:rsid w:val="006F53EF"/>
    <w:rsid w:val="006F69E7"/>
    <w:rsid w:val="00700229"/>
    <w:rsid w:val="007039FD"/>
    <w:rsid w:val="00703FEB"/>
    <w:rsid w:val="0070507B"/>
    <w:rsid w:val="00706DE7"/>
    <w:rsid w:val="00711E1B"/>
    <w:rsid w:val="0071340A"/>
    <w:rsid w:val="00713A86"/>
    <w:rsid w:val="00717494"/>
    <w:rsid w:val="00720421"/>
    <w:rsid w:val="007218A3"/>
    <w:rsid w:val="00722863"/>
    <w:rsid w:val="007247DE"/>
    <w:rsid w:val="00725640"/>
    <w:rsid w:val="00727863"/>
    <w:rsid w:val="007304E7"/>
    <w:rsid w:val="00731C0D"/>
    <w:rsid w:val="00732A4D"/>
    <w:rsid w:val="0073370B"/>
    <w:rsid w:val="007361EA"/>
    <w:rsid w:val="00736839"/>
    <w:rsid w:val="007369D1"/>
    <w:rsid w:val="007369DB"/>
    <w:rsid w:val="0074043C"/>
    <w:rsid w:val="00741460"/>
    <w:rsid w:val="00742268"/>
    <w:rsid w:val="007423AA"/>
    <w:rsid w:val="0074330D"/>
    <w:rsid w:val="0074489B"/>
    <w:rsid w:val="00746937"/>
    <w:rsid w:val="00746BE4"/>
    <w:rsid w:val="00747F57"/>
    <w:rsid w:val="00750509"/>
    <w:rsid w:val="00751A00"/>
    <w:rsid w:val="007564D8"/>
    <w:rsid w:val="00760EE3"/>
    <w:rsid w:val="00762319"/>
    <w:rsid w:val="0076303A"/>
    <w:rsid w:val="007655AE"/>
    <w:rsid w:val="00766399"/>
    <w:rsid w:val="007669B2"/>
    <w:rsid w:val="00767598"/>
    <w:rsid w:val="00770027"/>
    <w:rsid w:val="00770721"/>
    <w:rsid w:val="0077128A"/>
    <w:rsid w:val="00771A1C"/>
    <w:rsid w:val="00771E6F"/>
    <w:rsid w:val="00775287"/>
    <w:rsid w:val="00777DC7"/>
    <w:rsid w:val="00780B2B"/>
    <w:rsid w:val="0078241B"/>
    <w:rsid w:val="00782766"/>
    <w:rsid w:val="0078322F"/>
    <w:rsid w:val="00783889"/>
    <w:rsid w:val="00786334"/>
    <w:rsid w:val="007866ED"/>
    <w:rsid w:val="00787F70"/>
    <w:rsid w:val="007902AF"/>
    <w:rsid w:val="00790AFC"/>
    <w:rsid w:val="00791B9D"/>
    <w:rsid w:val="00791E52"/>
    <w:rsid w:val="00791E6B"/>
    <w:rsid w:val="00794AE7"/>
    <w:rsid w:val="00794DAF"/>
    <w:rsid w:val="00794E6A"/>
    <w:rsid w:val="007950FB"/>
    <w:rsid w:val="00795410"/>
    <w:rsid w:val="00795E1E"/>
    <w:rsid w:val="00796E99"/>
    <w:rsid w:val="007A0A17"/>
    <w:rsid w:val="007A0DD0"/>
    <w:rsid w:val="007A1C8A"/>
    <w:rsid w:val="007A32B0"/>
    <w:rsid w:val="007A36E6"/>
    <w:rsid w:val="007A5525"/>
    <w:rsid w:val="007A7B37"/>
    <w:rsid w:val="007B25A1"/>
    <w:rsid w:val="007B4229"/>
    <w:rsid w:val="007B5983"/>
    <w:rsid w:val="007B668F"/>
    <w:rsid w:val="007B691D"/>
    <w:rsid w:val="007C1510"/>
    <w:rsid w:val="007C38F5"/>
    <w:rsid w:val="007C3ECB"/>
    <w:rsid w:val="007C65C4"/>
    <w:rsid w:val="007D5F47"/>
    <w:rsid w:val="007D6CF6"/>
    <w:rsid w:val="007D6EEA"/>
    <w:rsid w:val="007D76D6"/>
    <w:rsid w:val="007E169A"/>
    <w:rsid w:val="007E671F"/>
    <w:rsid w:val="007E672B"/>
    <w:rsid w:val="007E6CED"/>
    <w:rsid w:val="007E7770"/>
    <w:rsid w:val="007F1D8A"/>
    <w:rsid w:val="007F21A5"/>
    <w:rsid w:val="007F24C8"/>
    <w:rsid w:val="007F2A55"/>
    <w:rsid w:val="007F2D16"/>
    <w:rsid w:val="007F33C4"/>
    <w:rsid w:val="007F569A"/>
    <w:rsid w:val="007F5A5A"/>
    <w:rsid w:val="007F5AFE"/>
    <w:rsid w:val="007F60A8"/>
    <w:rsid w:val="007F6312"/>
    <w:rsid w:val="007F6C34"/>
    <w:rsid w:val="007F6CC5"/>
    <w:rsid w:val="00800392"/>
    <w:rsid w:val="008013A7"/>
    <w:rsid w:val="00801A38"/>
    <w:rsid w:val="00806700"/>
    <w:rsid w:val="00807049"/>
    <w:rsid w:val="00810651"/>
    <w:rsid w:val="00811F37"/>
    <w:rsid w:val="0081372B"/>
    <w:rsid w:val="00813F0D"/>
    <w:rsid w:val="00814550"/>
    <w:rsid w:val="00821CDC"/>
    <w:rsid w:val="008226CD"/>
    <w:rsid w:val="00823613"/>
    <w:rsid w:val="00824844"/>
    <w:rsid w:val="008267F2"/>
    <w:rsid w:val="00827E2C"/>
    <w:rsid w:val="008301A9"/>
    <w:rsid w:val="00831645"/>
    <w:rsid w:val="00833110"/>
    <w:rsid w:val="00833F8A"/>
    <w:rsid w:val="0083563B"/>
    <w:rsid w:val="008416EB"/>
    <w:rsid w:val="008426FA"/>
    <w:rsid w:val="008502E0"/>
    <w:rsid w:val="008503B5"/>
    <w:rsid w:val="008523C4"/>
    <w:rsid w:val="00853DB2"/>
    <w:rsid w:val="00855E1A"/>
    <w:rsid w:val="00860725"/>
    <w:rsid w:val="00861929"/>
    <w:rsid w:val="0086227B"/>
    <w:rsid w:val="0086279D"/>
    <w:rsid w:val="0086282C"/>
    <w:rsid w:val="00865638"/>
    <w:rsid w:val="00867241"/>
    <w:rsid w:val="00867BE8"/>
    <w:rsid w:val="008733BB"/>
    <w:rsid w:val="00875C98"/>
    <w:rsid w:val="00875D72"/>
    <w:rsid w:val="00875ECA"/>
    <w:rsid w:val="0087608A"/>
    <w:rsid w:val="008838E7"/>
    <w:rsid w:val="00883DE5"/>
    <w:rsid w:val="00884A20"/>
    <w:rsid w:val="00885726"/>
    <w:rsid w:val="0088637B"/>
    <w:rsid w:val="00890E32"/>
    <w:rsid w:val="00891252"/>
    <w:rsid w:val="008938EB"/>
    <w:rsid w:val="0089793E"/>
    <w:rsid w:val="00897967"/>
    <w:rsid w:val="008A0746"/>
    <w:rsid w:val="008A4B25"/>
    <w:rsid w:val="008A5E72"/>
    <w:rsid w:val="008B0EAF"/>
    <w:rsid w:val="008B1ED1"/>
    <w:rsid w:val="008B4D63"/>
    <w:rsid w:val="008B5D5F"/>
    <w:rsid w:val="008B778A"/>
    <w:rsid w:val="008C12ED"/>
    <w:rsid w:val="008C34CF"/>
    <w:rsid w:val="008C5460"/>
    <w:rsid w:val="008C5CBC"/>
    <w:rsid w:val="008C7135"/>
    <w:rsid w:val="008C72E3"/>
    <w:rsid w:val="008C79C1"/>
    <w:rsid w:val="008D007C"/>
    <w:rsid w:val="008D257A"/>
    <w:rsid w:val="008D35FA"/>
    <w:rsid w:val="008D49B9"/>
    <w:rsid w:val="008D5881"/>
    <w:rsid w:val="008D5A97"/>
    <w:rsid w:val="008D5E39"/>
    <w:rsid w:val="008D6311"/>
    <w:rsid w:val="008D73AC"/>
    <w:rsid w:val="008D7789"/>
    <w:rsid w:val="008D7F86"/>
    <w:rsid w:val="008E19D7"/>
    <w:rsid w:val="008E2388"/>
    <w:rsid w:val="008E4635"/>
    <w:rsid w:val="008E5EA6"/>
    <w:rsid w:val="008E65E2"/>
    <w:rsid w:val="008F09B7"/>
    <w:rsid w:val="008F2739"/>
    <w:rsid w:val="008F2838"/>
    <w:rsid w:val="008F420A"/>
    <w:rsid w:val="008F690D"/>
    <w:rsid w:val="008F6C17"/>
    <w:rsid w:val="00900778"/>
    <w:rsid w:val="009026AC"/>
    <w:rsid w:val="00904090"/>
    <w:rsid w:val="00905BC6"/>
    <w:rsid w:val="009100A8"/>
    <w:rsid w:val="00910F26"/>
    <w:rsid w:val="00913CA4"/>
    <w:rsid w:val="00915A55"/>
    <w:rsid w:val="00915F9E"/>
    <w:rsid w:val="00917BB9"/>
    <w:rsid w:val="00920183"/>
    <w:rsid w:val="009201D8"/>
    <w:rsid w:val="0092070B"/>
    <w:rsid w:val="00920D2A"/>
    <w:rsid w:val="009228E9"/>
    <w:rsid w:val="0092336C"/>
    <w:rsid w:val="0092344A"/>
    <w:rsid w:val="0092710B"/>
    <w:rsid w:val="009304B8"/>
    <w:rsid w:val="00931AEC"/>
    <w:rsid w:val="00932902"/>
    <w:rsid w:val="00932E15"/>
    <w:rsid w:val="009335F5"/>
    <w:rsid w:val="009337FB"/>
    <w:rsid w:val="00936F07"/>
    <w:rsid w:val="009415FF"/>
    <w:rsid w:val="00943DD3"/>
    <w:rsid w:val="0094593C"/>
    <w:rsid w:val="00945A0D"/>
    <w:rsid w:val="00946663"/>
    <w:rsid w:val="009472EB"/>
    <w:rsid w:val="00953F47"/>
    <w:rsid w:val="009541B1"/>
    <w:rsid w:val="0095703D"/>
    <w:rsid w:val="00962E9D"/>
    <w:rsid w:val="00965624"/>
    <w:rsid w:val="0096672C"/>
    <w:rsid w:val="00967D00"/>
    <w:rsid w:val="0097188D"/>
    <w:rsid w:val="0097243E"/>
    <w:rsid w:val="00972BE8"/>
    <w:rsid w:val="0097363F"/>
    <w:rsid w:val="00974B89"/>
    <w:rsid w:val="00975ADA"/>
    <w:rsid w:val="009764B4"/>
    <w:rsid w:val="009765A8"/>
    <w:rsid w:val="00977D6F"/>
    <w:rsid w:val="00977F91"/>
    <w:rsid w:val="00983788"/>
    <w:rsid w:val="0099059A"/>
    <w:rsid w:val="00992526"/>
    <w:rsid w:val="00992D40"/>
    <w:rsid w:val="00995899"/>
    <w:rsid w:val="009961BB"/>
    <w:rsid w:val="00997685"/>
    <w:rsid w:val="00997E79"/>
    <w:rsid w:val="009A0143"/>
    <w:rsid w:val="009A1ACE"/>
    <w:rsid w:val="009A1DD3"/>
    <w:rsid w:val="009A3584"/>
    <w:rsid w:val="009A39F6"/>
    <w:rsid w:val="009A4FA8"/>
    <w:rsid w:val="009B2B8F"/>
    <w:rsid w:val="009B43DD"/>
    <w:rsid w:val="009B4856"/>
    <w:rsid w:val="009B4AC1"/>
    <w:rsid w:val="009C054A"/>
    <w:rsid w:val="009C1F9F"/>
    <w:rsid w:val="009C2EBA"/>
    <w:rsid w:val="009C5A61"/>
    <w:rsid w:val="009C5B2E"/>
    <w:rsid w:val="009C6FB6"/>
    <w:rsid w:val="009D5226"/>
    <w:rsid w:val="009D5304"/>
    <w:rsid w:val="009D68C0"/>
    <w:rsid w:val="009D6B1B"/>
    <w:rsid w:val="009E02FD"/>
    <w:rsid w:val="009E1EA7"/>
    <w:rsid w:val="009E2F9F"/>
    <w:rsid w:val="009E5217"/>
    <w:rsid w:val="009E5850"/>
    <w:rsid w:val="009E6ABD"/>
    <w:rsid w:val="009E6C0C"/>
    <w:rsid w:val="009F1867"/>
    <w:rsid w:val="009F421A"/>
    <w:rsid w:val="009F62C7"/>
    <w:rsid w:val="009F6F9D"/>
    <w:rsid w:val="009F7B51"/>
    <w:rsid w:val="00A01F9E"/>
    <w:rsid w:val="00A025D3"/>
    <w:rsid w:val="00A0361A"/>
    <w:rsid w:val="00A03EED"/>
    <w:rsid w:val="00A07C34"/>
    <w:rsid w:val="00A10D19"/>
    <w:rsid w:val="00A11DF0"/>
    <w:rsid w:val="00A1255D"/>
    <w:rsid w:val="00A128ED"/>
    <w:rsid w:val="00A1346E"/>
    <w:rsid w:val="00A164F1"/>
    <w:rsid w:val="00A17807"/>
    <w:rsid w:val="00A213FE"/>
    <w:rsid w:val="00A27CC6"/>
    <w:rsid w:val="00A300F5"/>
    <w:rsid w:val="00A30E32"/>
    <w:rsid w:val="00A3480A"/>
    <w:rsid w:val="00A3716E"/>
    <w:rsid w:val="00A37A5C"/>
    <w:rsid w:val="00A40130"/>
    <w:rsid w:val="00A40EBE"/>
    <w:rsid w:val="00A4292D"/>
    <w:rsid w:val="00A47C97"/>
    <w:rsid w:val="00A50D1B"/>
    <w:rsid w:val="00A51B36"/>
    <w:rsid w:val="00A5234A"/>
    <w:rsid w:val="00A52FE2"/>
    <w:rsid w:val="00A5371F"/>
    <w:rsid w:val="00A53846"/>
    <w:rsid w:val="00A5448A"/>
    <w:rsid w:val="00A54A90"/>
    <w:rsid w:val="00A555B8"/>
    <w:rsid w:val="00A5580F"/>
    <w:rsid w:val="00A55D09"/>
    <w:rsid w:val="00A56BB9"/>
    <w:rsid w:val="00A57B49"/>
    <w:rsid w:val="00A632E9"/>
    <w:rsid w:val="00A63E2A"/>
    <w:rsid w:val="00A63F3F"/>
    <w:rsid w:val="00A6400D"/>
    <w:rsid w:val="00A673F3"/>
    <w:rsid w:val="00A67816"/>
    <w:rsid w:val="00A7006C"/>
    <w:rsid w:val="00A703A5"/>
    <w:rsid w:val="00A728E9"/>
    <w:rsid w:val="00A72F0A"/>
    <w:rsid w:val="00A7415B"/>
    <w:rsid w:val="00A76FF4"/>
    <w:rsid w:val="00A802AB"/>
    <w:rsid w:val="00A80F57"/>
    <w:rsid w:val="00A814D3"/>
    <w:rsid w:val="00A815AD"/>
    <w:rsid w:val="00A81892"/>
    <w:rsid w:val="00A81B12"/>
    <w:rsid w:val="00A823A2"/>
    <w:rsid w:val="00A834FB"/>
    <w:rsid w:val="00A83FE7"/>
    <w:rsid w:val="00A84650"/>
    <w:rsid w:val="00A84B1C"/>
    <w:rsid w:val="00A84C65"/>
    <w:rsid w:val="00A8607B"/>
    <w:rsid w:val="00A87EDC"/>
    <w:rsid w:val="00A9077C"/>
    <w:rsid w:val="00A907F2"/>
    <w:rsid w:val="00A90AA3"/>
    <w:rsid w:val="00A90ABD"/>
    <w:rsid w:val="00A91771"/>
    <w:rsid w:val="00A93EF2"/>
    <w:rsid w:val="00A9512A"/>
    <w:rsid w:val="00A95142"/>
    <w:rsid w:val="00AA2E40"/>
    <w:rsid w:val="00AA4EDC"/>
    <w:rsid w:val="00AA53A1"/>
    <w:rsid w:val="00AA5C25"/>
    <w:rsid w:val="00AA609C"/>
    <w:rsid w:val="00AA6C27"/>
    <w:rsid w:val="00AA7491"/>
    <w:rsid w:val="00AA7B2E"/>
    <w:rsid w:val="00AB41A0"/>
    <w:rsid w:val="00AC1101"/>
    <w:rsid w:val="00AC3B58"/>
    <w:rsid w:val="00AC525F"/>
    <w:rsid w:val="00AC5D26"/>
    <w:rsid w:val="00AC6AD5"/>
    <w:rsid w:val="00AC7C00"/>
    <w:rsid w:val="00AD251D"/>
    <w:rsid w:val="00AD25C0"/>
    <w:rsid w:val="00AD2A66"/>
    <w:rsid w:val="00AD2C69"/>
    <w:rsid w:val="00AD50DC"/>
    <w:rsid w:val="00AD754F"/>
    <w:rsid w:val="00AE0EC4"/>
    <w:rsid w:val="00AE2366"/>
    <w:rsid w:val="00AE38C3"/>
    <w:rsid w:val="00AE3C3C"/>
    <w:rsid w:val="00AE4C95"/>
    <w:rsid w:val="00AE58DA"/>
    <w:rsid w:val="00AE68FA"/>
    <w:rsid w:val="00AE6A25"/>
    <w:rsid w:val="00AE7A16"/>
    <w:rsid w:val="00AE7BE8"/>
    <w:rsid w:val="00AE7DFE"/>
    <w:rsid w:val="00AF0339"/>
    <w:rsid w:val="00AF123C"/>
    <w:rsid w:val="00AF142C"/>
    <w:rsid w:val="00AF2CE0"/>
    <w:rsid w:val="00AF2E2C"/>
    <w:rsid w:val="00AF42BB"/>
    <w:rsid w:val="00AF59C0"/>
    <w:rsid w:val="00AF61F9"/>
    <w:rsid w:val="00AF7E50"/>
    <w:rsid w:val="00B0058D"/>
    <w:rsid w:val="00B0073F"/>
    <w:rsid w:val="00B00FE8"/>
    <w:rsid w:val="00B0155E"/>
    <w:rsid w:val="00B027AB"/>
    <w:rsid w:val="00B05294"/>
    <w:rsid w:val="00B0608D"/>
    <w:rsid w:val="00B07274"/>
    <w:rsid w:val="00B07720"/>
    <w:rsid w:val="00B07D4F"/>
    <w:rsid w:val="00B102BD"/>
    <w:rsid w:val="00B10582"/>
    <w:rsid w:val="00B13978"/>
    <w:rsid w:val="00B147CD"/>
    <w:rsid w:val="00B17900"/>
    <w:rsid w:val="00B209BE"/>
    <w:rsid w:val="00B231E0"/>
    <w:rsid w:val="00B26FF4"/>
    <w:rsid w:val="00B30163"/>
    <w:rsid w:val="00B310D6"/>
    <w:rsid w:val="00B31CFC"/>
    <w:rsid w:val="00B31D32"/>
    <w:rsid w:val="00B32F26"/>
    <w:rsid w:val="00B44483"/>
    <w:rsid w:val="00B51BA6"/>
    <w:rsid w:val="00B52AD7"/>
    <w:rsid w:val="00B53EBA"/>
    <w:rsid w:val="00B53FE1"/>
    <w:rsid w:val="00B5503B"/>
    <w:rsid w:val="00B555AB"/>
    <w:rsid w:val="00B55C17"/>
    <w:rsid w:val="00B5629F"/>
    <w:rsid w:val="00B57C25"/>
    <w:rsid w:val="00B57E9E"/>
    <w:rsid w:val="00B62969"/>
    <w:rsid w:val="00B67C79"/>
    <w:rsid w:val="00B73684"/>
    <w:rsid w:val="00B73A5C"/>
    <w:rsid w:val="00B80080"/>
    <w:rsid w:val="00B829AE"/>
    <w:rsid w:val="00B85171"/>
    <w:rsid w:val="00B90902"/>
    <w:rsid w:val="00B9302C"/>
    <w:rsid w:val="00B94F3C"/>
    <w:rsid w:val="00B94FCD"/>
    <w:rsid w:val="00B95BF3"/>
    <w:rsid w:val="00B9685A"/>
    <w:rsid w:val="00BA32B0"/>
    <w:rsid w:val="00BA52C6"/>
    <w:rsid w:val="00BA5B8B"/>
    <w:rsid w:val="00BA6AC8"/>
    <w:rsid w:val="00BA72E3"/>
    <w:rsid w:val="00BB09CC"/>
    <w:rsid w:val="00BB1F93"/>
    <w:rsid w:val="00BB3744"/>
    <w:rsid w:val="00BB5B57"/>
    <w:rsid w:val="00BC09B8"/>
    <w:rsid w:val="00BC13CB"/>
    <w:rsid w:val="00BC18DB"/>
    <w:rsid w:val="00BC25D6"/>
    <w:rsid w:val="00BC415D"/>
    <w:rsid w:val="00BC5E66"/>
    <w:rsid w:val="00BC6E48"/>
    <w:rsid w:val="00BC74F7"/>
    <w:rsid w:val="00BC7C89"/>
    <w:rsid w:val="00BD3298"/>
    <w:rsid w:val="00BD36F7"/>
    <w:rsid w:val="00BD3EE3"/>
    <w:rsid w:val="00BD48D9"/>
    <w:rsid w:val="00BD5245"/>
    <w:rsid w:val="00BD57A8"/>
    <w:rsid w:val="00BE1C29"/>
    <w:rsid w:val="00BE215B"/>
    <w:rsid w:val="00BE38E5"/>
    <w:rsid w:val="00BE3CFC"/>
    <w:rsid w:val="00BE3F6C"/>
    <w:rsid w:val="00BE533E"/>
    <w:rsid w:val="00BE67EC"/>
    <w:rsid w:val="00BE792A"/>
    <w:rsid w:val="00BF0DBA"/>
    <w:rsid w:val="00BF29A1"/>
    <w:rsid w:val="00BF2CAE"/>
    <w:rsid w:val="00BF44F7"/>
    <w:rsid w:val="00BF47F4"/>
    <w:rsid w:val="00BF56E3"/>
    <w:rsid w:val="00BF60C8"/>
    <w:rsid w:val="00C00E28"/>
    <w:rsid w:val="00C01F52"/>
    <w:rsid w:val="00C028E2"/>
    <w:rsid w:val="00C038D2"/>
    <w:rsid w:val="00C06906"/>
    <w:rsid w:val="00C1261A"/>
    <w:rsid w:val="00C12777"/>
    <w:rsid w:val="00C13ED1"/>
    <w:rsid w:val="00C15216"/>
    <w:rsid w:val="00C16CC8"/>
    <w:rsid w:val="00C2095D"/>
    <w:rsid w:val="00C21117"/>
    <w:rsid w:val="00C2197A"/>
    <w:rsid w:val="00C22999"/>
    <w:rsid w:val="00C229FF"/>
    <w:rsid w:val="00C3292A"/>
    <w:rsid w:val="00C32DC5"/>
    <w:rsid w:val="00C33199"/>
    <w:rsid w:val="00C34766"/>
    <w:rsid w:val="00C35CF2"/>
    <w:rsid w:val="00C3772D"/>
    <w:rsid w:val="00C379EC"/>
    <w:rsid w:val="00C41EBA"/>
    <w:rsid w:val="00C43050"/>
    <w:rsid w:val="00C5039D"/>
    <w:rsid w:val="00C514F2"/>
    <w:rsid w:val="00C52496"/>
    <w:rsid w:val="00C54DDE"/>
    <w:rsid w:val="00C56DA2"/>
    <w:rsid w:val="00C645A1"/>
    <w:rsid w:val="00C647DC"/>
    <w:rsid w:val="00C654E0"/>
    <w:rsid w:val="00C67659"/>
    <w:rsid w:val="00C67A44"/>
    <w:rsid w:val="00C7111C"/>
    <w:rsid w:val="00C712B7"/>
    <w:rsid w:val="00C7303F"/>
    <w:rsid w:val="00C74A1B"/>
    <w:rsid w:val="00C75B9B"/>
    <w:rsid w:val="00C81418"/>
    <w:rsid w:val="00C81E36"/>
    <w:rsid w:val="00C83812"/>
    <w:rsid w:val="00C85FB9"/>
    <w:rsid w:val="00C86C5B"/>
    <w:rsid w:val="00C8729B"/>
    <w:rsid w:val="00C87506"/>
    <w:rsid w:val="00C90DED"/>
    <w:rsid w:val="00C91FF6"/>
    <w:rsid w:val="00C922FE"/>
    <w:rsid w:val="00C93825"/>
    <w:rsid w:val="00C95D32"/>
    <w:rsid w:val="00C96CF2"/>
    <w:rsid w:val="00C97C81"/>
    <w:rsid w:val="00C97CD3"/>
    <w:rsid w:val="00CA0F96"/>
    <w:rsid w:val="00CA244C"/>
    <w:rsid w:val="00CA45D3"/>
    <w:rsid w:val="00CA466D"/>
    <w:rsid w:val="00CA78A5"/>
    <w:rsid w:val="00CB0594"/>
    <w:rsid w:val="00CB2AD5"/>
    <w:rsid w:val="00CB3142"/>
    <w:rsid w:val="00CB4CF0"/>
    <w:rsid w:val="00CB5194"/>
    <w:rsid w:val="00CB5D16"/>
    <w:rsid w:val="00CB6FD6"/>
    <w:rsid w:val="00CC1491"/>
    <w:rsid w:val="00CC2031"/>
    <w:rsid w:val="00CC279A"/>
    <w:rsid w:val="00CC29EA"/>
    <w:rsid w:val="00CC3B51"/>
    <w:rsid w:val="00CC60BA"/>
    <w:rsid w:val="00CC6186"/>
    <w:rsid w:val="00CC6263"/>
    <w:rsid w:val="00CD05D0"/>
    <w:rsid w:val="00CD1AEE"/>
    <w:rsid w:val="00CD5F8E"/>
    <w:rsid w:val="00CE04C1"/>
    <w:rsid w:val="00CE0B75"/>
    <w:rsid w:val="00CE375A"/>
    <w:rsid w:val="00CE444C"/>
    <w:rsid w:val="00CE449C"/>
    <w:rsid w:val="00CE4F61"/>
    <w:rsid w:val="00CE5B57"/>
    <w:rsid w:val="00CE6306"/>
    <w:rsid w:val="00CE6F65"/>
    <w:rsid w:val="00CF134D"/>
    <w:rsid w:val="00CF1FE9"/>
    <w:rsid w:val="00CF2DBD"/>
    <w:rsid w:val="00CF32A7"/>
    <w:rsid w:val="00CF376C"/>
    <w:rsid w:val="00CF584A"/>
    <w:rsid w:val="00D041A3"/>
    <w:rsid w:val="00D05FB8"/>
    <w:rsid w:val="00D06098"/>
    <w:rsid w:val="00D07D3B"/>
    <w:rsid w:val="00D11D04"/>
    <w:rsid w:val="00D13D53"/>
    <w:rsid w:val="00D143B5"/>
    <w:rsid w:val="00D1574C"/>
    <w:rsid w:val="00D167BA"/>
    <w:rsid w:val="00D177B6"/>
    <w:rsid w:val="00D17EB1"/>
    <w:rsid w:val="00D221AD"/>
    <w:rsid w:val="00D27E50"/>
    <w:rsid w:val="00D3437B"/>
    <w:rsid w:val="00D3509A"/>
    <w:rsid w:val="00D35D7F"/>
    <w:rsid w:val="00D36331"/>
    <w:rsid w:val="00D364B4"/>
    <w:rsid w:val="00D36E77"/>
    <w:rsid w:val="00D3777F"/>
    <w:rsid w:val="00D37B2F"/>
    <w:rsid w:val="00D40284"/>
    <w:rsid w:val="00D43B41"/>
    <w:rsid w:val="00D44B25"/>
    <w:rsid w:val="00D44F23"/>
    <w:rsid w:val="00D46DBE"/>
    <w:rsid w:val="00D47262"/>
    <w:rsid w:val="00D50203"/>
    <w:rsid w:val="00D535AF"/>
    <w:rsid w:val="00D539F7"/>
    <w:rsid w:val="00D53CFB"/>
    <w:rsid w:val="00D548F3"/>
    <w:rsid w:val="00D54E5F"/>
    <w:rsid w:val="00D56195"/>
    <w:rsid w:val="00D608D4"/>
    <w:rsid w:val="00D60919"/>
    <w:rsid w:val="00D60C65"/>
    <w:rsid w:val="00D637D5"/>
    <w:rsid w:val="00D64B7A"/>
    <w:rsid w:val="00D65CE4"/>
    <w:rsid w:val="00D65DEB"/>
    <w:rsid w:val="00D727FB"/>
    <w:rsid w:val="00D72FF6"/>
    <w:rsid w:val="00D73972"/>
    <w:rsid w:val="00D766DD"/>
    <w:rsid w:val="00D77674"/>
    <w:rsid w:val="00D822BF"/>
    <w:rsid w:val="00D841BE"/>
    <w:rsid w:val="00D85E3C"/>
    <w:rsid w:val="00D90723"/>
    <w:rsid w:val="00D94195"/>
    <w:rsid w:val="00D94B37"/>
    <w:rsid w:val="00D95061"/>
    <w:rsid w:val="00D97F6B"/>
    <w:rsid w:val="00DA009E"/>
    <w:rsid w:val="00DA0349"/>
    <w:rsid w:val="00DA0A28"/>
    <w:rsid w:val="00DA3054"/>
    <w:rsid w:val="00DA32B8"/>
    <w:rsid w:val="00DA3DEC"/>
    <w:rsid w:val="00DA5412"/>
    <w:rsid w:val="00DA6B88"/>
    <w:rsid w:val="00DA7A98"/>
    <w:rsid w:val="00DB210D"/>
    <w:rsid w:val="00DB4266"/>
    <w:rsid w:val="00DB4949"/>
    <w:rsid w:val="00DB4F5B"/>
    <w:rsid w:val="00DB65C2"/>
    <w:rsid w:val="00DC0F1C"/>
    <w:rsid w:val="00DC3A6D"/>
    <w:rsid w:val="00DC4440"/>
    <w:rsid w:val="00DC55B7"/>
    <w:rsid w:val="00DD1910"/>
    <w:rsid w:val="00DD1F26"/>
    <w:rsid w:val="00DD5A7C"/>
    <w:rsid w:val="00DD6027"/>
    <w:rsid w:val="00DD6C23"/>
    <w:rsid w:val="00DD7F6C"/>
    <w:rsid w:val="00DE1174"/>
    <w:rsid w:val="00DE26AF"/>
    <w:rsid w:val="00DE40B2"/>
    <w:rsid w:val="00DE4DDB"/>
    <w:rsid w:val="00DE5498"/>
    <w:rsid w:val="00DE57AD"/>
    <w:rsid w:val="00DF00B6"/>
    <w:rsid w:val="00DF07E7"/>
    <w:rsid w:val="00DF100B"/>
    <w:rsid w:val="00DF142D"/>
    <w:rsid w:val="00DF3993"/>
    <w:rsid w:val="00DF3ED7"/>
    <w:rsid w:val="00DF457D"/>
    <w:rsid w:val="00DF55E0"/>
    <w:rsid w:val="00DF694D"/>
    <w:rsid w:val="00E0073D"/>
    <w:rsid w:val="00E0129C"/>
    <w:rsid w:val="00E01C2E"/>
    <w:rsid w:val="00E01FC7"/>
    <w:rsid w:val="00E0311A"/>
    <w:rsid w:val="00E03BD2"/>
    <w:rsid w:val="00E05D4D"/>
    <w:rsid w:val="00E10705"/>
    <w:rsid w:val="00E12B51"/>
    <w:rsid w:val="00E14200"/>
    <w:rsid w:val="00E14B19"/>
    <w:rsid w:val="00E2232E"/>
    <w:rsid w:val="00E23581"/>
    <w:rsid w:val="00E251D5"/>
    <w:rsid w:val="00E25410"/>
    <w:rsid w:val="00E25EB2"/>
    <w:rsid w:val="00E262FB"/>
    <w:rsid w:val="00E30052"/>
    <w:rsid w:val="00E30FEB"/>
    <w:rsid w:val="00E31EA0"/>
    <w:rsid w:val="00E35B95"/>
    <w:rsid w:val="00E42EAC"/>
    <w:rsid w:val="00E4443F"/>
    <w:rsid w:val="00E44A62"/>
    <w:rsid w:val="00E4510B"/>
    <w:rsid w:val="00E454C1"/>
    <w:rsid w:val="00E461C2"/>
    <w:rsid w:val="00E50590"/>
    <w:rsid w:val="00E513D4"/>
    <w:rsid w:val="00E53486"/>
    <w:rsid w:val="00E5383A"/>
    <w:rsid w:val="00E55373"/>
    <w:rsid w:val="00E55A03"/>
    <w:rsid w:val="00E57643"/>
    <w:rsid w:val="00E57A3C"/>
    <w:rsid w:val="00E60E7D"/>
    <w:rsid w:val="00E6244C"/>
    <w:rsid w:val="00E626B8"/>
    <w:rsid w:val="00E631DA"/>
    <w:rsid w:val="00E639F1"/>
    <w:rsid w:val="00E64673"/>
    <w:rsid w:val="00E65260"/>
    <w:rsid w:val="00E6631B"/>
    <w:rsid w:val="00E672E0"/>
    <w:rsid w:val="00E67D76"/>
    <w:rsid w:val="00E72386"/>
    <w:rsid w:val="00E724A3"/>
    <w:rsid w:val="00E72A3A"/>
    <w:rsid w:val="00E74434"/>
    <w:rsid w:val="00E74EBA"/>
    <w:rsid w:val="00E74F9E"/>
    <w:rsid w:val="00E753CB"/>
    <w:rsid w:val="00E763EF"/>
    <w:rsid w:val="00E802FE"/>
    <w:rsid w:val="00E80CEA"/>
    <w:rsid w:val="00E81A13"/>
    <w:rsid w:val="00E81D41"/>
    <w:rsid w:val="00E8478C"/>
    <w:rsid w:val="00E87ACB"/>
    <w:rsid w:val="00E87B82"/>
    <w:rsid w:val="00E91315"/>
    <w:rsid w:val="00E95909"/>
    <w:rsid w:val="00E9619B"/>
    <w:rsid w:val="00E97A89"/>
    <w:rsid w:val="00EA002C"/>
    <w:rsid w:val="00EA19C7"/>
    <w:rsid w:val="00EA2970"/>
    <w:rsid w:val="00EA3AD0"/>
    <w:rsid w:val="00EA73DB"/>
    <w:rsid w:val="00EB2B61"/>
    <w:rsid w:val="00EB329A"/>
    <w:rsid w:val="00EB433D"/>
    <w:rsid w:val="00EC1A71"/>
    <w:rsid w:val="00EC7870"/>
    <w:rsid w:val="00ED13FC"/>
    <w:rsid w:val="00ED3E30"/>
    <w:rsid w:val="00ED4916"/>
    <w:rsid w:val="00EE047B"/>
    <w:rsid w:val="00EE3174"/>
    <w:rsid w:val="00EE3EB9"/>
    <w:rsid w:val="00EE53A5"/>
    <w:rsid w:val="00EF074A"/>
    <w:rsid w:val="00EF2138"/>
    <w:rsid w:val="00EF265C"/>
    <w:rsid w:val="00EF2D6F"/>
    <w:rsid w:val="00EF4209"/>
    <w:rsid w:val="00EF68F7"/>
    <w:rsid w:val="00F0048F"/>
    <w:rsid w:val="00F040EC"/>
    <w:rsid w:val="00F076AF"/>
    <w:rsid w:val="00F110B2"/>
    <w:rsid w:val="00F157DD"/>
    <w:rsid w:val="00F2009E"/>
    <w:rsid w:val="00F207D8"/>
    <w:rsid w:val="00F20D94"/>
    <w:rsid w:val="00F22D13"/>
    <w:rsid w:val="00F254FA"/>
    <w:rsid w:val="00F262FD"/>
    <w:rsid w:val="00F26E1E"/>
    <w:rsid w:val="00F279E1"/>
    <w:rsid w:val="00F315BE"/>
    <w:rsid w:val="00F32517"/>
    <w:rsid w:val="00F32848"/>
    <w:rsid w:val="00F34945"/>
    <w:rsid w:val="00F36416"/>
    <w:rsid w:val="00F410E6"/>
    <w:rsid w:val="00F434F8"/>
    <w:rsid w:val="00F44BCE"/>
    <w:rsid w:val="00F45AB5"/>
    <w:rsid w:val="00F5036C"/>
    <w:rsid w:val="00F50517"/>
    <w:rsid w:val="00F50ECC"/>
    <w:rsid w:val="00F511E1"/>
    <w:rsid w:val="00F514DE"/>
    <w:rsid w:val="00F54564"/>
    <w:rsid w:val="00F55A07"/>
    <w:rsid w:val="00F615EF"/>
    <w:rsid w:val="00F62DA0"/>
    <w:rsid w:val="00F64320"/>
    <w:rsid w:val="00F649F6"/>
    <w:rsid w:val="00F662ED"/>
    <w:rsid w:val="00F666F9"/>
    <w:rsid w:val="00F735AA"/>
    <w:rsid w:val="00F73BA1"/>
    <w:rsid w:val="00F74591"/>
    <w:rsid w:val="00F75783"/>
    <w:rsid w:val="00F77776"/>
    <w:rsid w:val="00F80CF1"/>
    <w:rsid w:val="00F812A1"/>
    <w:rsid w:val="00F81440"/>
    <w:rsid w:val="00F815BD"/>
    <w:rsid w:val="00F81BB3"/>
    <w:rsid w:val="00F86153"/>
    <w:rsid w:val="00F932EC"/>
    <w:rsid w:val="00F94B3B"/>
    <w:rsid w:val="00F9518E"/>
    <w:rsid w:val="00F953BA"/>
    <w:rsid w:val="00F95C33"/>
    <w:rsid w:val="00FA072D"/>
    <w:rsid w:val="00FA2B10"/>
    <w:rsid w:val="00FA3AB1"/>
    <w:rsid w:val="00FA4AB8"/>
    <w:rsid w:val="00FA4B24"/>
    <w:rsid w:val="00FA65C8"/>
    <w:rsid w:val="00FA736E"/>
    <w:rsid w:val="00FA7997"/>
    <w:rsid w:val="00FA7B93"/>
    <w:rsid w:val="00FB0020"/>
    <w:rsid w:val="00FB1E33"/>
    <w:rsid w:val="00FB2D1B"/>
    <w:rsid w:val="00FB3196"/>
    <w:rsid w:val="00FB3600"/>
    <w:rsid w:val="00FB36F9"/>
    <w:rsid w:val="00FB3CBA"/>
    <w:rsid w:val="00FB4944"/>
    <w:rsid w:val="00FB6807"/>
    <w:rsid w:val="00FB7A39"/>
    <w:rsid w:val="00FB7F5C"/>
    <w:rsid w:val="00FC1B15"/>
    <w:rsid w:val="00FC3820"/>
    <w:rsid w:val="00FC4DF9"/>
    <w:rsid w:val="00FC54E4"/>
    <w:rsid w:val="00FC7908"/>
    <w:rsid w:val="00FD2BCE"/>
    <w:rsid w:val="00FD579C"/>
    <w:rsid w:val="00FD62A1"/>
    <w:rsid w:val="00FD6DC4"/>
    <w:rsid w:val="00FD6FFF"/>
    <w:rsid w:val="00FD7677"/>
    <w:rsid w:val="00FD7B0C"/>
    <w:rsid w:val="00FE05F4"/>
    <w:rsid w:val="00FE3D95"/>
    <w:rsid w:val="00FE3DAE"/>
    <w:rsid w:val="00FE400F"/>
    <w:rsid w:val="00FE579F"/>
    <w:rsid w:val="00FE6C2B"/>
    <w:rsid w:val="00FF0A61"/>
    <w:rsid w:val="00FF1CF5"/>
    <w:rsid w:val="00FF274E"/>
    <w:rsid w:val="00FF2FC5"/>
    <w:rsid w:val="00FF48F6"/>
    <w:rsid w:val="00FF4AFC"/>
    <w:rsid w:val="00FF4ED8"/>
    <w:rsid w:val="00FF667C"/>
    <w:rsid w:val="00FF75A7"/>
    <w:rsid w:val="011C1A2B"/>
    <w:rsid w:val="0243E243"/>
    <w:rsid w:val="028B9E2D"/>
    <w:rsid w:val="02FD3CDB"/>
    <w:rsid w:val="031DFC99"/>
    <w:rsid w:val="057B8305"/>
    <w:rsid w:val="057CF2ED"/>
    <w:rsid w:val="06A81E0C"/>
    <w:rsid w:val="070A404E"/>
    <w:rsid w:val="073992BF"/>
    <w:rsid w:val="075C7E5A"/>
    <w:rsid w:val="088A9648"/>
    <w:rsid w:val="09C039D6"/>
    <w:rsid w:val="0A6E3B91"/>
    <w:rsid w:val="0B5A4E0C"/>
    <w:rsid w:val="0C6D42B2"/>
    <w:rsid w:val="0CDEC117"/>
    <w:rsid w:val="0F14EFB5"/>
    <w:rsid w:val="1156BC9D"/>
    <w:rsid w:val="16A720BA"/>
    <w:rsid w:val="18A7C577"/>
    <w:rsid w:val="190D545D"/>
    <w:rsid w:val="1C373E93"/>
    <w:rsid w:val="1CC200DC"/>
    <w:rsid w:val="1EAADDC2"/>
    <w:rsid w:val="1FED30D1"/>
    <w:rsid w:val="2007A2F4"/>
    <w:rsid w:val="234A5758"/>
    <w:rsid w:val="23B7B999"/>
    <w:rsid w:val="27A4D5DA"/>
    <w:rsid w:val="27CAE714"/>
    <w:rsid w:val="2951EB52"/>
    <w:rsid w:val="2B8FBAD1"/>
    <w:rsid w:val="2FD5F8F9"/>
    <w:rsid w:val="2FEA3527"/>
    <w:rsid w:val="3158A0FD"/>
    <w:rsid w:val="349C1A64"/>
    <w:rsid w:val="372C371A"/>
    <w:rsid w:val="3A736BC6"/>
    <w:rsid w:val="3C534E9E"/>
    <w:rsid w:val="3CD2701B"/>
    <w:rsid w:val="3E7AEC04"/>
    <w:rsid w:val="4064D9C6"/>
    <w:rsid w:val="40E1F4F7"/>
    <w:rsid w:val="41AEFB04"/>
    <w:rsid w:val="41C2E1CA"/>
    <w:rsid w:val="426287BA"/>
    <w:rsid w:val="435A67ED"/>
    <w:rsid w:val="440CA510"/>
    <w:rsid w:val="44B068D2"/>
    <w:rsid w:val="45F79582"/>
    <w:rsid w:val="46433D00"/>
    <w:rsid w:val="48B7F8B9"/>
    <w:rsid w:val="48F81321"/>
    <w:rsid w:val="4A3A91A5"/>
    <w:rsid w:val="4B4AB07E"/>
    <w:rsid w:val="4C096A00"/>
    <w:rsid w:val="4D725389"/>
    <w:rsid w:val="51CC2F95"/>
    <w:rsid w:val="51D09E16"/>
    <w:rsid w:val="51D38D02"/>
    <w:rsid w:val="547DAE31"/>
    <w:rsid w:val="55D1F3C7"/>
    <w:rsid w:val="55DD2E0E"/>
    <w:rsid w:val="560393AB"/>
    <w:rsid w:val="576A2B4E"/>
    <w:rsid w:val="58CDCE18"/>
    <w:rsid w:val="5914FB93"/>
    <w:rsid w:val="5BF5BADD"/>
    <w:rsid w:val="5D7E4185"/>
    <w:rsid w:val="6031C922"/>
    <w:rsid w:val="6407FDAB"/>
    <w:rsid w:val="65340F51"/>
    <w:rsid w:val="65BD84E7"/>
    <w:rsid w:val="67C293E1"/>
    <w:rsid w:val="67CFB55A"/>
    <w:rsid w:val="69EC05B6"/>
    <w:rsid w:val="6B2213A0"/>
    <w:rsid w:val="6CADF7E6"/>
    <w:rsid w:val="6E6C8920"/>
    <w:rsid w:val="6EEE3030"/>
    <w:rsid w:val="6EF0BB42"/>
    <w:rsid w:val="6FD39791"/>
    <w:rsid w:val="7178C43F"/>
    <w:rsid w:val="7376FC26"/>
    <w:rsid w:val="75BD5051"/>
    <w:rsid w:val="78CB3429"/>
    <w:rsid w:val="7B595B8E"/>
    <w:rsid w:val="7D5CFC74"/>
    <w:rsid w:val="7DEA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8D538"/>
  <w15:chartTrackingRefBased/>
  <w15:docId w15:val="{4271B5D9-8CF5-41D0-8FF2-5F383D11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D6A"/>
    <w:rPr>
      <w:rFonts w:ascii="Times New Roman" w:eastAsia="Times New Roman" w:hAnsi="Times New Roman" w:cs="Times New Roman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F54564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6750"/>
  </w:style>
  <w:style w:type="table" w:styleId="TableGrid">
    <w:name w:val="Table Grid"/>
    <w:basedOn w:val="TableNormal"/>
    <w:uiPriority w:val="39"/>
    <w:rsid w:val="00257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0D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525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5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5C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5C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0E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E32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90E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E32"/>
    <w:rPr>
      <w:rFonts w:ascii="Times New Roman" w:eastAsia="Times New Roman" w:hAnsi="Times New Roman" w:cs="Times New Roman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012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125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A0125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F54564"/>
    <w:rPr>
      <w:rFonts w:ascii="Times New Roman" w:eastAsia="Times New Roman" w:hAnsi="Times New Roman" w:cs="Times New Roman"/>
      <w:szCs w:val="20"/>
      <w:u w:val="single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F54564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07720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semiHidden/>
    <w:unhideWhenUsed/>
    <w:rsid w:val="00B07720"/>
    <w:pPr>
      <w:numPr>
        <w:numId w:val="11"/>
      </w:numPr>
      <w:spacing w:after="120"/>
    </w:pPr>
    <w:rPr>
      <w:rFonts w:ascii="Arial" w:eastAsiaTheme="minorHAnsi" w:hAnsi="Arial" w:cs="Arial"/>
      <w:sz w:val="23"/>
      <w:szCs w:val="23"/>
      <w:lang w:eastAsia="en-US"/>
    </w:rPr>
  </w:style>
  <w:style w:type="paragraph" w:customStyle="1" w:styleId="Default">
    <w:name w:val="Default"/>
    <w:basedOn w:val="Normal"/>
    <w:rsid w:val="00B07720"/>
    <w:pPr>
      <w:autoSpaceDE w:val="0"/>
      <w:autoSpaceDN w:val="0"/>
    </w:pPr>
    <w:rPr>
      <w:rFonts w:ascii="Arial" w:eastAsiaTheme="minorHAnsi" w:hAnsi="Arial" w:cs="Arial"/>
      <w:color w:val="000000"/>
      <w:szCs w:val="24"/>
    </w:rPr>
  </w:style>
  <w:style w:type="paragraph" w:styleId="Revision">
    <w:name w:val="Revision"/>
    <w:hidden/>
    <w:uiPriority w:val="99"/>
    <w:semiHidden/>
    <w:rsid w:val="00AE68FA"/>
    <w:rPr>
      <w:rFonts w:ascii="Times New Roman" w:eastAsia="Times New Roman" w:hAnsi="Times New Roman" w:cs="Times New Roman"/>
      <w:szCs w:val="20"/>
      <w:lang w:eastAsia="en-GB"/>
    </w:rPr>
  </w:style>
  <w:style w:type="character" w:styleId="Hyperlink">
    <w:name w:val="Hyperlink"/>
    <w:rsid w:val="00BF44F7"/>
    <w:rPr>
      <w:color w:val="0000FF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documenttasks/documenttasks1.xml><?xml version="1.0" encoding="utf-8"?>
<t:Tasks xmlns:t="http://schemas.microsoft.com/office/tasks/2019/documenttasks" xmlns:oel="http://schemas.microsoft.com/office/2019/extlst">
  <t:Task id="{8461FB91-58E2-4714-B26A-77D0610038B0}">
    <t:Anchor>
      <t:Comment id="679788071"/>
    </t:Anchor>
    <t:History>
      <t:Event id="{C68DB050-E5BC-4FD4-A783-8860B8DAE17B}" time="2023-08-14T14:18:12.005Z">
        <t:Attribution userId="S::morven@highlifehighland.com::4f327ead-872d-44dd-8eb0-dead986a5a4d" userProvider="AD" userName="Morven MacLeod (HLH Corporate Services)"/>
        <t:Anchor>
          <t:Comment id="1330224089"/>
        </t:Anchor>
        <t:Create/>
      </t:Event>
      <t:Event id="{2C7B002A-A6E8-4C42-8923-B3FB1016B2C2}" time="2023-08-14T14:18:12.005Z">
        <t:Attribution userId="S::morven@highlifehighland.com::4f327ead-872d-44dd-8eb0-dead986a5a4d" userProvider="AD" userName="Morven MacLeod (HLH Corporate Services)"/>
        <t:Anchor>
          <t:Comment id="1330224089"/>
        </t:Anchor>
        <t:Assign userId="S::dwilby@Highlifehighland.com::7a592891-991f-4944-b2ac-b86f43982043" userProvider="AD" userName="Douglas Wilby (HLH Director of Sport &amp; Leisure)"/>
      </t:Event>
      <t:Event id="{08C7F990-E101-4166-9F07-EA6FC4F0439B}" time="2023-08-14T14:18:12.005Z">
        <t:Attribution userId="S::morven@highlifehighland.com::4f327ead-872d-44dd-8eb0-dead986a5a4d" userProvider="AD" userName="Morven MacLeod (HLH Corporate Services)"/>
        <t:Anchor>
          <t:Comment id="1330224089"/>
        </t:Anchor>
        <t:SetTitle title="@Douglas Wilby (HLH Director of Sport &amp; Leisure) please see 4.11 - does that cover it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d5fbb2-2192-4c06-97aa-b19be9df9d85" xsi:nil="true"/>
    <lcf76f155ced4ddcb4097134ff3c332f xmlns="38414d70-2a13-4ef6-81dd-46a0748d05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B708E42E7E345B8456CCFC18D9783" ma:contentTypeVersion="14" ma:contentTypeDescription="Create a new document." ma:contentTypeScope="" ma:versionID="c30028a5bd787090a5009c93416c7613">
  <xsd:schema xmlns:xsd="http://www.w3.org/2001/XMLSchema" xmlns:xs="http://www.w3.org/2001/XMLSchema" xmlns:p="http://schemas.microsoft.com/office/2006/metadata/properties" xmlns:ns2="38414d70-2a13-4ef6-81dd-46a0748d05f7" xmlns:ns3="8ad5fbb2-2192-4c06-97aa-b19be9df9d85" targetNamespace="http://schemas.microsoft.com/office/2006/metadata/properties" ma:root="true" ma:fieldsID="c455b3bb99be73d9fd4fb62c6d1c4955" ns2:_="" ns3:_="">
    <xsd:import namespace="38414d70-2a13-4ef6-81dd-46a0748d05f7"/>
    <xsd:import namespace="8ad5fbb2-2192-4c06-97aa-b19be9df9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14d70-2a13-4ef6-81dd-46a0748d0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fbb2-2192-4c06-97aa-b19be9df9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a5b9385-0170-49a4-9f58-25f3e2033525}" ma:internalName="TaxCatchAll" ma:showField="CatchAllData" ma:web="8ad5fbb2-2192-4c06-97aa-b19be9df9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D97998-023C-4168-BB87-D4C3766506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9576E1-20BF-47C4-8353-43041F373149}">
  <ds:schemaRefs>
    <ds:schemaRef ds:uri="http://schemas.microsoft.com/office/2006/metadata/properties"/>
    <ds:schemaRef ds:uri="http://schemas.microsoft.com/office/infopath/2007/PartnerControls"/>
    <ds:schemaRef ds:uri="8ad5fbb2-2192-4c06-97aa-b19be9df9d85"/>
    <ds:schemaRef ds:uri="38414d70-2a13-4ef6-81dd-46a0748d05f7"/>
  </ds:schemaRefs>
</ds:datastoreItem>
</file>

<file path=customXml/itemProps3.xml><?xml version="1.0" encoding="utf-8"?>
<ds:datastoreItem xmlns:ds="http://schemas.openxmlformats.org/officeDocument/2006/customXml" ds:itemID="{406A3700-574D-456D-BB4E-E9B778F4FB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867045-5DC0-4FD5-BD22-FD491545B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14d70-2a13-4ef6-81dd-46a0748d05f7"/>
    <ds:schemaRef ds:uri="8ad5fbb2-2192-4c06-97aa-b19be9df9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3359</Words>
  <Characters>19148</Characters>
  <Application>Microsoft Office Word</Application>
  <DocSecurity>0</DocSecurity>
  <Lines>159</Lines>
  <Paragraphs>44</Paragraphs>
  <ScaleCrop>false</ScaleCrop>
  <Company/>
  <LinksUpToDate>false</LinksUpToDate>
  <CharactersWithSpaces>22463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Martin (HLH Director of Corporate Services)</dc:creator>
  <cp:keywords/>
  <dc:description/>
  <cp:lastModifiedBy>Jackie MacKenzie (HLH Corporate Services)</cp:lastModifiedBy>
  <cp:revision>547</cp:revision>
  <dcterms:created xsi:type="dcterms:W3CDTF">2023-08-07T19:24:00Z</dcterms:created>
  <dcterms:modified xsi:type="dcterms:W3CDTF">2023-08-23T11:11:00Z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0x01010075AB708E42E7E345B8456CCFC18D9783</vt:lpwstr>
  </property>
  <property fmtid="{D5CDD505-2E9C-101B-9397-08002B2CF9AE}" pid="3" name="MediaServiceImageTags">
    <vt:lpwstr/>
  </property>
</Properties>
</file>