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2ABE7D72">
        <w:tc>
          <w:tcPr>
            <w:tcW w:w="6237" w:type="dxa"/>
          </w:tcPr>
          <w:p w14:paraId="67B8000A" w14:textId="77777777" w:rsidR="002579EB" w:rsidRPr="00A90AA3" w:rsidRDefault="002579EB" w:rsidP="002579EB">
            <w:pPr>
              <w:pStyle w:val="NoSpacing"/>
              <w:rPr>
                <w:b/>
                <w:bCs/>
              </w:rPr>
            </w:pPr>
            <w:r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7D8C9C31" w:rsidR="002579EB" w:rsidRPr="00A90AA3" w:rsidRDefault="001112DF" w:rsidP="002579EB">
            <w:pPr>
              <w:pStyle w:val="NoSpacing"/>
              <w:rPr>
                <w:b/>
                <w:bCs/>
              </w:rPr>
            </w:pPr>
            <w:r>
              <w:rPr>
                <w:b/>
                <w:bCs/>
              </w:rPr>
              <w:t>7 December</w:t>
            </w:r>
            <w:r w:rsidR="008A2014">
              <w:rPr>
                <w:b/>
                <w:bCs/>
              </w:rPr>
              <w:t xml:space="preserve"> 2023</w:t>
            </w:r>
          </w:p>
        </w:tc>
        <w:tc>
          <w:tcPr>
            <w:tcW w:w="3499" w:type="dxa"/>
          </w:tcPr>
          <w:p w14:paraId="7BBD1465" w14:textId="77777777" w:rsidR="004C734D" w:rsidRDefault="002579EB" w:rsidP="00943DD3">
            <w:pPr>
              <w:pStyle w:val="NoSpacing"/>
            </w:pPr>
            <w:r w:rsidRPr="00A90AA3">
              <w:t>AGENDA ITEM</w:t>
            </w:r>
            <w:r w:rsidR="008C5CBC">
              <w:t xml:space="preserve"> </w:t>
            </w:r>
          </w:p>
          <w:p w14:paraId="4EE94809" w14:textId="6DA20595" w:rsidR="002579EB" w:rsidRPr="00A90AA3" w:rsidRDefault="002579EB" w:rsidP="00943DD3">
            <w:pPr>
              <w:pStyle w:val="NoSpacing"/>
            </w:pPr>
            <w:r w:rsidRPr="00A90AA3">
              <w:t>REPORT No HLH/</w:t>
            </w:r>
            <w:r w:rsidR="003C26E9">
              <w:t xml:space="preserve"> </w:t>
            </w:r>
            <w:r w:rsidR="008C5CBC">
              <w:t xml:space="preserve">  </w:t>
            </w:r>
            <w:r w:rsidR="003C26E9">
              <w:t xml:space="preserve"> </w:t>
            </w:r>
            <w:r w:rsidRPr="00A90AA3">
              <w:t>/2</w:t>
            </w:r>
            <w:r w:rsidR="004160EF">
              <w:t>3</w:t>
            </w:r>
          </w:p>
        </w:tc>
      </w:tr>
    </w:tbl>
    <w:p w14:paraId="3C8A6692" w14:textId="5DF0B2C9" w:rsidR="2ABE7D72" w:rsidRDefault="2ABE7D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7AB25475" w:rsidR="002579EB" w:rsidRPr="00A90AA3" w:rsidRDefault="006E6ED7" w:rsidP="006D0D6A">
            <w:pPr>
              <w:pStyle w:val="NoSpacing"/>
              <w:rPr>
                <w:b/>
                <w:bCs/>
              </w:rPr>
            </w:pPr>
            <w:r w:rsidRPr="00A90AA3">
              <w:rPr>
                <w:b/>
                <w:bCs/>
              </w:rPr>
              <w:t>HR UPDATE</w:t>
            </w:r>
            <w:r w:rsidR="00394EBE">
              <w:rPr>
                <w:b/>
                <w:bCs/>
              </w:rPr>
              <w:t xml:space="preserve"> – Report by Chief Executi</w:t>
            </w:r>
            <w:r w:rsidR="00257F22">
              <w:rPr>
                <w:b/>
                <w:bCs/>
              </w:rPr>
              <w:t>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69432C67" w:rsidR="006D0D6A" w:rsidRPr="00A90AA3" w:rsidRDefault="005D68D0" w:rsidP="002579EB">
            <w:pPr>
              <w:pStyle w:val="NoSpacing"/>
            </w:pPr>
            <w:bookmarkStart w:id="0" w:name="_Hlk89254243"/>
            <w:r>
              <w:rPr>
                <w:b/>
                <w:bCs/>
              </w:rPr>
              <w:t>Recommendation</w:t>
            </w:r>
          </w:p>
          <w:p w14:paraId="6C71DCF4" w14:textId="77777777" w:rsidR="00F50517" w:rsidRDefault="00F50517" w:rsidP="000E18CA">
            <w:pPr>
              <w:pStyle w:val="NoSpacing"/>
              <w:jc w:val="both"/>
            </w:pPr>
          </w:p>
          <w:p w14:paraId="70BEF412" w14:textId="2A88ED8A" w:rsidR="00F110B2" w:rsidRPr="00A90AA3" w:rsidRDefault="006E6ED7" w:rsidP="000E18CA">
            <w:pPr>
              <w:pStyle w:val="NoSpacing"/>
              <w:jc w:val="both"/>
            </w:pPr>
            <w:r w:rsidRPr="00A90AA3">
              <w:t xml:space="preserve">The purpose of this report is to update </w:t>
            </w:r>
            <w:r w:rsidR="00F50517">
              <w:t xml:space="preserve">Board Members </w:t>
            </w:r>
            <w:r w:rsidR="00005ECF" w:rsidRPr="00A90AA3">
              <w:t xml:space="preserve">on </w:t>
            </w:r>
            <w:r w:rsidR="00F50517">
              <w:t xml:space="preserve">the charity’s </w:t>
            </w:r>
            <w:r w:rsidR="00005ECF" w:rsidRPr="00A90AA3">
              <w:t>HR related matters</w:t>
            </w:r>
            <w:r w:rsidR="00F50517">
              <w:t>.</w:t>
            </w:r>
          </w:p>
          <w:p w14:paraId="77DF8143" w14:textId="546EDD80" w:rsidR="007C3ECB" w:rsidRPr="00A90AA3" w:rsidRDefault="007C3ECB" w:rsidP="007C3ECB">
            <w:pPr>
              <w:pStyle w:val="NoSpacing"/>
            </w:pPr>
          </w:p>
          <w:p w14:paraId="3CDD9D11" w14:textId="28C3BE1F" w:rsidR="00B07720" w:rsidRDefault="00B07720" w:rsidP="00B07720">
            <w:pPr>
              <w:pStyle w:val="NoSpacing"/>
            </w:pPr>
            <w:r>
              <w:t>It is recommended Directors</w:t>
            </w:r>
            <w:r w:rsidR="00C04905">
              <w:t>:</w:t>
            </w:r>
          </w:p>
          <w:p w14:paraId="1CDF59AA" w14:textId="77777777" w:rsidR="00B07720" w:rsidRDefault="00B07720" w:rsidP="00B07720">
            <w:pPr>
              <w:pStyle w:val="NoSpacing"/>
            </w:pPr>
          </w:p>
          <w:p w14:paraId="62E8B341" w14:textId="7C97D75E" w:rsidR="003C7969" w:rsidRDefault="00C04905">
            <w:pPr>
              <w:pStyle w:val="NoSpacing"/>
              <w:numPr>
                <w:ilvl w:val="0"/>
                <w:numId w:val="6"/>
              </w:numPr>
              <w:jc w:val="both"/>
            </w:pPr>
            <w:r>
              <w:t xml:space="preserve">note </w:t>
            </w:r>
            <w:r w:rsidR="00B07720">
              <w:t xml:space="preserve">the standing HR matters for </w:t>
            </w:r>
            <w:r w:rsidR="00F50517">
              <w:t>Q</w:t>
            </w:r>
            <w:r w:rsidR="001E6415">
              <w:t>2</w:t>
            </w:r>
            <w:r w:rsidR="00943DD3">
              <w:t xml:space="preserve"> </w:t>
            </w:r>
            <w:r w:rsidR="00F50517">
              <w:t>(</w:t>
            </w:r>
            <w:r w:rsidR="001E6415">
              <w:t>July - Sept</w:t>
            </w:r>
            <w:r w:rsidR="00F50517">
              <w:t xml:space="preserve"> 202</w:t>
            </w:r>
            <w:r w:rsidR="00653736">
              <w:t>3</w:t>
            </w:r>
            <w:proofErr w:type="gramStart"/>
            <w:r w:rsidR="00F50517">
              <w:t>)</w:t>
            </w:r>
            <w:r w:rsidR="00217D48">
              <w:t>;</w:t>
            </w:r>
            <w:proofErr w:type="gramEnd"/>
            <w:r w:rsidR="001646D1">
              <w:t xml:space="preserve"> </w:t>
            </w:r>
          </w:p>
          <w:p w14:paraId="035F39D8" w14:textId="37372B98" w:rsidR="00A14B01" w:rsidRDefault="00C04905" w:rsidP="00A14B01">
            <w:pPr>
              <w:pStyle w:val="NoSpacing"/>
              <w:numPr>
                <w:ilvl w:val="0"/>
                <w:numId w:val="6"/>
              </w:numPr>
              <w:jc w:val="both"/>
            </w:pPr>
            <w:r>
              <w:t xml:space="preserve">note </w:t>
            </w:r>
            <w:r w:rsidR="007C099A">
              <w:t xml:space="preserve">the </w:t>
            </w:r>
            <w:r w:rsidR="00E6297F">
              <w:t xml:space="preserve">pending </w:t>
            </w:r>
            <w:r w:rsidR="007C099A">
              <w:t>SJC Pay Award</w:t>
            </w:r>
            <w:r w:rsidR="006B4B89">
              <w:t>; and</w:t>
            </w:r>
          </w:p>
          <w:p w14:paraId="7CB4B1DD" w14:textId="4F758842" w:rsidR="007C099A" w:rsidRDefault="00C04905" w:rsidP="00A14B01">
            <w:pPr>
              <w:pStyle w:val="NoSpacing"/>
              <w:numPr>
                <w:ilvl w:val="0"/>
                <w:numId w:val="6"/>
              </w:numPr>
              <w:jc w:val="both"/>
            </w:pPr>
            <w:r>
              <w:t>approve</w:t>
            </w:r>
            <w:r w:rsidR="00390A8F">
              <w:t xml:space="preserve"> the</w:t>
            </w:r>
            <w:r w:rsidR="00A62038" w:rsidRPr="00CC4EFF">
              <w:t xml:space="preserve"> Gender Pay Gap Report in </w:t>
            </w:r>
            <w:r w:rsidR="00A62038" w:rsidRPr="00CC4EFF">
              <w:rPr>
                <w:b/>
              </w:rPr>
              <w:t xml:space="preserve">Appendix </w:t>
            </w:r>
            <w:r w:rsidR="00A15F49">
              <w:rPr>
                <w:b/>
              </w:rPr>
              <w:t>C</w:t>
            </w:r>
            <w:r w:rsidR="00A62038" w:rsidRPr="00CC4EFF">
              <w:rPr>
                <w:b/>
              </w:rPr>
              <w:t xml:space="preserve"> </w:t>
            </w:r>
            <w:r w:rsidR="00390A8F">
              <w:t>for</w:t>
            </w:r>
            <w:r w:rsidR="00A62038" w:rsidRPr="00CC4EFF">
              <w:t xml:space="preserve"> submission to the UK Government and publication on the HLH web</w:t>
            </w:r>
            <w:r w:rsidR="00390A8F">
              <w:t xml:space="preserve"> </w:t>
            </w:r>
            <w:r w:rsidR="00A62038" w:rsidRPr="00CC4EFF">
              <w:t>site</w:t>
            </w:r>
            <w:r w:rsidR="00390A8F">
              <w:t xml:space="preserve">. </w:t>
            </w:r>
          </w:p>
          <w:p w14:paraId="7528E958" w14:textId="5CF9E863" w:rsidR="001646D1" w:rsidRPr="00A90AA3" w:rsidRDefault="001646D1" w:rsidP="00A14B01">
            <w:pPr>
              <w:pStyle w:val="NoSpacing"/>
              <w:ind w:left="1080"/>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57B8305">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57B8305">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03DA5FA1" w14:textId="7008C827" w:rsidR="00D766DD" w:rsidRPr="00A90AA3" w:rsidRDefault="00D766DD" w:rsidP="00D766DD">
            <w:pPr>
              <w:jc w:val="both"/>
              <w:rPr>
                <w:rFonts w:ascii="Arial" w:hAnsi="Arial" w:cs="Arial"/>
                <w:szCs w:val="24"/>
              </w:rPr>
            </w:pPr>
            <w:r w:rsidRPr="00A90AA3">
              <w:rPr>
                <w:rFonts w:ascii="Arial" w:hAnsi="Arial" w:cs="Arial"/>
                <w:szCs w:val="24"/>
              </w:rPr>
              <w:t>This report supports the highlighted Business Outcome</w:t>
            </w:r>
            <w:r w:rsidR="0039675E">
              <w:rPr>
                <w:rFonts w:ascii="Arial" w:hAnsi="Arial" w:cs="Arial"/>
                <w:szCs w:val="24"/>
              </w:rPr>
              <w:t>s</w:t>
            </w:r>
            <w:r w:rsidRPr="00A90AA3">
              <w:rPr>
                <w:rFonts w:ascii="Arial" w:hAnsi="Arial" w:cs="Arial"/>
                <w:szCs w:val="24"/>
              </w:rPr>
              <w:t xml:space="preserve"> from the High Life Highland (HLH)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1C6B8E">
            <w:pPr>
              <w:pStyle w:val="ListParagraph"/>
              <w:numPr>
                <w:ilvl w:val="0"/>
                <w:numId w:val="15"/>
              </w:numPr>
              <w:spacing w:after="0" w:line="240" w:lineRule="auto"/>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1C6B8E">
            <w:pPr>
              <w:pStyle w:val="ListParagraph"/>
              <w:numPr>
                <w:ilvl w:val="0"/>
                <w:numId w:val="15"/>
              </w:numPr>
              <w:spacing w:after="0" w:line="240" w:lineRule="auto"/>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1C6B8E">
            <w:pPr>
              <w:pStyle w:val="ListParagraph"/>
              <w:numPr>
                <w:ilvl w:val="0"/>
                <w:numId w:val="15"/>
              </w:numPr>
              <w:spacing w:after="0" w:line="240" w:lineRule="auto"/>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0E18CA" w:rsidRDefault="00D766DD" w:rsidP="001C6B8E">
            <w:pPr>
              <w:pStyle w:val="ListParagraph"/>
              <w:numPr>
                <w:ilvl w:val="0"/>
                <w:numId w:val="15"/>
              </w:numPr>
              <w:spacing w:after="0" w:line="240" w:lineRule="auto"/>
              <w:jc w:val="both"/>
              <w:rPr>
                <w:rFonts w:ascii="Arial" w:hAnsi="Arial" w:cs="Arial"/>
                <w:b/>
                <w:bCs/>
                <w:sz w:val="24"/>
                <w:szCs w:val="24"/>
              </w:rPr>
            </w:pPr>
            <w:r w:rsidRPr="057B8305">
              <w:rPr>
                <w:rFonts w:ascii="Arial" w:hAnsi="Arial" w:cs="Arial"/>
                <w:b/>
                <w:bCs/>
                <w:sz w:val="24"/>
                <w:szCs w:val="24"/>
              </w:rPr>
              <w:t xml:space="preserve">Increase employee satisfaction, </w:t>
            </w:r>
            <w:bookmarkStart w:id="1" w:name="_Int_DxiQLWxq"/>
            <w:proofErr w:type="gramStart"/>
            <w:r w:rsidRPr="057B8305">
              <w:rPr>
                <w:rFonts w:ascii="Arial" w:hAnsi="Arial" w:cs="Arial"/>
                <w:b/>
                <w:bCs/>
                <w:sz w:val="24"/>
                <w:szCs w:val="24"/>
              </w:rPr>
              <w:t>engagement</w:t>
            </w:r>
            <w:bookmarkEnd w:id="1"/>
            <w:proofErr w:type="gramEnd"/>
            <w:r w:rsidRPr="057B8305">
              <w:rPr>
                <w:rFonts w:ascii="Arial" w:hAnsi="Arial" w:cs="Arial"/>
                <w:b/>
                <w:bCs/>
                <w:sz w:val="24"/>
                <w:szCs w:val="24"/>
              </w:rPr>
              <w:t xml:space="preserve"> and development to improve staff recruitment and retention.</w:t>
            </w:r>
          </w:p>
          <w:p w14:paraId="12B38FFE" w14:textId="77777777" w:rsidR="00D766DD" w:rsidRPr="00172425" w:rsidRDefault="00D766DD" w:rsidP="001C6B8E">
            <w:pPr>
              <w:pStyle w:val="ListParagraph"/>
              <w:numPr>
                <w:ilvl w:val="0"/>
                <w:numId w:val="15"/>
              </w:numPr>
              <w:spacing w:after="0" w:line="240" w:lineRule="auto"/>
              <w:jc w:val="both"/>
              <w:rPr>
                <w:rFonts w:ascii="Arial" w:hAnsi="Arial" w:cs="Arial"/>
                <w:sz w:val="24"/>
                <w:szCs w:val="24"/>
              </w:rPr>
            </w:pPr>
            <w:r w:rsidRPr="00172425">
              <w:rPr>
                <w:rFonts w:ascii="Arial" w:hAnsi="Arial" w:cs="Arial"/>
                <w:sz w:val="24"/>
                <w:szCs w:val="24"/>
              </w:rPr>
              <w:t>Improve the financial sustainability of the company.</w:t>
            </w:r>
          </w:p>
          <w:p w14:paraId="0DA7B926" w14:textId="77777777" w:rsidR="00D766DD" w:rsidRPr="00172425" w:rsidRDefault="00D766DD" w:rsidP="001C6B8E">
            <w:pPr>
              <w:pStyle w:val="ListParagraph"/>
              <w:numPr>
                <w:ilvl w:val="0"/>
                <w:numId w:val="15"/>
              </w:numPr>
              <w:spacing w:after="0" w:line="240" w:lineRule="auto"/>
              <w:jc w:val="both"/>
              <w:rPr>
                <w:rFonts w:ascii="Arial" w:hAnsi="Arial" w:cs="Arial"/>
                <w:sz w:val="24"/>
                <w:szCs w:val="24"/>
              </w:rPr>
            </w:pPr>
            <w:r w:rsidRPr="00172425">
              <w:rPr>
                <w:rFonts w:ascii="Arial" w:hAnsi="Arial" w:cs="Arial"/>
                <w:sz w:val="24"/>
                <w:szCs w:val="24"/>
              </w:rPr>
              <w:t>Value and strengthen the relationship with THC.</w:t>
            </w:r>
          </w:p>
          <w:p w14:paraId="7676B148" w14:textId="77777777" w:rsidR="00D766DD" w:rsidRPr="00172425" w:rsidRDefault="00D766DD" w:rsidP="001C6B8E">
            <w:pPr>
              <w:pStyle w:val="ListParagraph"/>
              <w:numPr>
                <w:ilvl w:val="0"/>
                <w:numId w:val="15"/>
              </w:numPr>
              <w:spacing w:after="0" w:line="240" w:lineRule="auto"/>
              <w:jc w:val="both"/>
              <w:rPr>
                <w:rFonts w:ascii="Arial" w:hAnsi="Arial" w:cs="Arial"/>
                <w:sz w:val="24"/>
                <w:szCs w:val="24"/>
              </w:rPr>
            </w:pPr>
            <w:r w:rsidRPr="00172425">
              <w:rPr>
                <w:rFonts w:ascii="Arial" w:hAnsi="Arial" w:cs="Arial"/>
                <w:sz w:val="24"/>
                <w:szCs w:val="24"/>
              </w:rPr>
              <w:t>Develop and deliver the HLH Corporate Programme and seek to attract capital investment.</w:t>
            </w:r>
          </w:p>
          <w:p w14:paraId="427C0620" w14:textId="77777777" w:rsidR="00D766DD" w:rsidRPr="00172425" w:rsidRDefault="00D766DD" w:rsidP="001C6B8E">
            <w:pPr>
              <w:pStyle w:val="ListParagraph"/>
              <w:numPr>
                <w:ilvl w:val="0"/>
                <w:numId w:val="15"/>
              </w:numPr>
              <w:tabs>
                <w:tab w:val="left" w:pos="0"/>
              </w:tabs>
              <w:spacing w:after="0" w:line="240" w:lineRule="auto"/>
              <w:jc w:val="both"/>
              <w:rPr>
                <w:rFonts w:ascii="Arial" w:hAnsi="Arial" w:cs="Arial"/>
                <w:sz w:val="24"/>
                <w:szCs w:val="24"/>
              </w:rPr>
            </w:pPr>
            <w:r w:rsidRPr="00172425">
              <w:rPr>
                <w:rFonts w:ascii="Arial" w:hAnsi="Arial" w:cs="Arial"/>
                <w:sz w:val="24"/>
                <w:szCs w:val="24"/>
              </w:rPr>
              <w:t>Use research and market analysis to develop and deliver proactive marketing and promotion of HLH and its services.</w:t>
            </w:r>
          </w:p>
          <w:p w14:paraId="2B03D3EA" w14:textId="77777777" w:rsidR="00D766DD" w:rsidRPr="00172425" w:rsidRDefault="00D766DD" w:rsidP="001C6B8E">
            <w:pPr>
              <w:pStyle w:val="ListParagraph"/>
              <w:numPr>
                <w:ilvl w:val="0"/>
                <w:numId w:val="15"/>
              </w:numPr>
              <w:spacing w:after="0" w:line="240" w:lineRule="auto"/>
              <w:jc w:val="both"/>
              <w:rPr>
                <w:rFonts w:ascii="Arial" w:hAnsi="Arial" w:cs="Arial"/>
                <w:sz w:val="24"/>
                <w:szCs w:val="24"/>
              </w:rPr>
            </w:pPr>
            <w:r w:rsidRPr="00172425">
              <w:rPr>
                <w:rFonts w:ascii="Arial" w:hAnsi="Arial" w:cs="Arial"/>
                <w:sz w:val="24"/>
                <w:szCs w:val="24"/>
              </w:rPr>
              <w:t>Initiate and implement an ICT digital transformation strategy across the charity.</w:t>
            </w:r>
          </w:p>
          <w:p w14:paraId="4CE58D20" w14:textId="77777777" w:rsidR="00D766DD" w:rsidRPr="00172425" w:rsidRDefault="00D766DD" w:rsidP="001C6B8E">
            <w:pPr>
              <w:pStyle w:val="ListParagraph"/>
              <w:numPr>
                <w:ilvl w:val="0"/>
                <w:numId w:val="15"/>
              </w:numPr>
              <w:spacing w:after="0" w:line="240" w:lineRule="auto"/>
              <w:jc w:val="both"/>
              <w:rPr>
                <w:rFonts w:ascii="Arial" w:hAnsi="Arial" w:cs="Arial"/>
                <w:sz w:val="24"/>
                <w:szCs w:val="24"/>
              </w:rPr>
            </w:pPr>
            <w:r w:rsidRPr="00172425">
              <w:rPr>
                <w:rFonts w:ascii="Arial" w:hAnsi="Arial" w:cs="Arial"/>
                <w:sz w:val="24"/>
                <w:szCs w:val="24"/>
              </w:rPr>
              <w:t xml:space="preserve">Develop and strengthen relationships with customers, key </w:t>
            </w:r>
            <w:bookmarkStart w:id="2" w:name="_Int_olbQNSeV"/>
            <w:proofErr w:type="gramStart"/>
            <w:r w:rsidRPr="00172425">
              <w:rPr>
                <w:rFonts w:ascii="Arial" w:hAnsi="Arial" w:cs="Arial"/>
                <w:sz w:val="24"/>
                <w:szCs w:val="24"/>
              </w:rPr>
              <w:t>stakeholders</w:t>
            </w:r>
            <w:bookmarkEnd w:id="2"/>
            <w:proofErr w:type="gramEnd"/>
            <w:r w:rsidRPr="00172425">
              <w:rPr>
                <w:rFonts w:ascii="Arial" w:hAnsi="Arial" w:cs="Arial"/>
                <w:sz w:val="24"/>
                <w:szCs w:val="24"/>
              </w:rPr>
              <w:t xml:space="preserve"> and partners.</w:t>
            </w:r>
          </w:p>
          <w:p w14:paraId="38DF6ABD" w14:textId="1421573B" w:rsidR="006D0D6A" w:rsidRPr="000E18CA" w:rsidRDefault="00D766DD" w:rsidP="001C6B8E">
            <w:pPr>
              <w:pStyle w:val="ListParagraph"/>
              <w:numPr>
                <w:ilvl w:val="0"/>
                <w:numId w:val="15"/>
              </w:numPr>
              <w:spacing w:after="0" w:line="240" w:lineRule="auto"/>
              <w:jc w:val="both"/>
              <w:rPr>
                <w:rFonts w:ascii="Arial" w:hAnsi="Arial" w:cs="Arial"/>
                <w:sz w:val="24"/>
                <w:szCs w:val="24"/>
              </w:rPr>
            </w:pPr>
            <w:r w:rsidRPr="00172425">
              <w:rPr>
                <w:rFonts w:ascii="Arial" w:hAnsi="Arial" w:cs="Arial"/>
                <w:sz w:val="24"/>
                <w:szCs w:val="24"/>
              </w:rPr>
              <w:t>Deliver targeted programmes</w:t>
            </w:r>
            <w:r w:rsidRPr="057B8305">
              <w:rPr>
                <w:rFonts w:ascii="Arial" w:hAnsi="Arial" w:cs="Arial"/>
                <w:sz w:val="24"/>
                <w:szCs w:val="24"/>
              </w:rPr>
              <w:t xml:space="preserve"> which support and enhance the physical and mental health and wellbeing of the </w:t>
            </w:r>
            <w:bookmarkStart w:id="3" w:name="_Int_3QzYGjlq"/>
            <w:proofErr w:type="gramStart"/>
            <w:r w:rsidRPr="057B8305">
              <w:rPr>
                <w:rFonts w:ascii="Arial" w:hAnsi="Arial" w:cs="Arial"/>
                <w:sz w:val="24"/>
                <w:szCs w:val="24"/>
              </w:rPr>
              <w:t>population</w:t>
            </w:r>
            <w:bookmarkEnd w:id="3"/>
            <w:proofErr w:type="gramEnd"/>
            <w:r w:rsidRPr="057B8305">
              <w:rPr>
                <w:rFonts w:ascii="Arial" w:hAnsi="Arial" w:cs="Arial"/>
                <w:sz w:val="24"/>
                <w:szCs w:val="24"/>
              </w:rPr>
              <w:t xml:space="preserve"> and which contribute to the prevention agenda</w:t>
            </w:r>
            <w:r w:rsidR="000E18CA" w:rsidRPr="057B8305">
              <w:rPr>
                <w:rFonts w:ascii="Arial" w:hAnsi="Arial" w:cs="Arial"/>
                <w:sz w:val="24"/>
                <w:szCs w:val="24"/>
              </w:rPr>
              <w:t>.</w:t>
            </w:r>
          </w:p>
        </w:tc>
      </w:tr>
    </w:tbl>
    <w:p w14:paraId="6BAE8B77" w14:textId="1F4AE263" w:rsidR="006D0D6A" w:rsidRDefault="006D0D6A" w:rsidP="002579EB">
      <w:pPr>
        <w:pStyle w:val="NoSpacing"/>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8815"/>
        <w:gridCol w:w="123"/>
      </w:tblGrid>
      <w:tr w:rsidR="00CE6306" w:rsidRPr="00A90AA3" w14:paraId="34AA3735" w14:textId="77777777" w:rsidTr="008B7A70">
        <w:trPr>
          <w:gridAfter w:val="1"/>
          <w:wAfter w:w="123" w:type="dxa"/>
        </w:trPr>
        <w:tc>
          <w:tcPr>
            <w:tcW w:w="1127" w:type="dxa"/>
          </w:tcPr>
          <w:p w14:paraId="4CE73AA6" w14:textId="6FBAB5FE" w:rsidR="006D0D6A" w:rsidRPr="000E18CA" w:rsidRDefault="000E18CA" w:rsidP="000E18CA">
            <w:pPr>
              <w:pStyle w:val="NoSpacing"/>
              <w:rPr>
                <w:b/>
                <w:bCs/>
              </w:rPr>
            </w:pPr>
            <w:r w:rsidRPr="000E18CA">
              <w:rPr>
                <w:b/>
                <w:bCs/>
              </w:rPr>
              <w:t>2.</w:t>
            </w:r>
          </w:p>
        </w:tc>
        <w:tc>
          <w:tcPr>
            <w:tcW w:w="8815" w:type="dxa"/>
          </w:tcPr>
          <w:p w14:paraId="5DC1CEB1" w14:textId="47746AC6" w:rsidR="006D0D6A" w:rsidRPr="00A90AA3" w:rsidRDefault="006D0D6A" w:rsidP="00566883">
            <w:pPr>
              <w:pStyle w:val="NoSpacing"/>
              <w:ind w:right="37"/>
              <w:rPr>
                <w:b/>
                <w:bCs/>
              </w:rPr>
            </w:pPr>
            <w:r w:rsidRPr="00A90AA3">
              <w:rPr>
                <w:b/>
                <w:bCs/>
              </w:rPr>
              <w:t>Background</w:t>
            </w:r>
          </w:p>
          <w:p w14:paraId="6F2334B7" w14:textId="77777777" w:rsidR="006D0D6A" w:rsidRPr="00A90AA3" w:rsidRDefault="006D0D6A" w:rsidP="00566883">
            <w:pPr>
              <w:pStyle w:val="NoSpacing"/>
              <w:ind w:right="37"/>
              <w:rPr>
                <w:b/>
                <w:bCs/>
              </w:rPr>
            </w:pPr>
          </w:p>
        </w:tc>
      </w:tr>
      <w:tr w:rsidR="00CE6306" w:rsidRPr="00A90AA3" w14:paraId="4A8CE2EA" w14:textId="77777777" w:rsidTr="008B7A70">
        <w:trPr>
          <w:gridAfter w:val="1"/>
          <w:wAfter w:w="123" w:type="dxa"/>
        </w:trPr>
        <w:tc>
          <w:tcPr>
            <w:tcW w:w="1127" w:type="dxa"/>
          </w:tcPr>
          <w:p w14:paraId="0114C74C" w14:textId="17B803FB" w:rsidR="006D0D6A" w:rsidRPr="00A90AA3" w:rsidRDefault="000E18CA" w:rsidP="000E18CA">
            <w:pPr>
              <w:pStyle w:val="NoSpacing"/>
            </w:pPr>
            <w:r>
              <w:t>2.1</w:t>
            </w:r>
          </w:p>
        </w:tc>
        <w:tc>
          <w:tcPr>
            <w:tcW w:w="8815" w:type="dxa"/>
          </w:tcPr>
          <w:p w14:paraId="04820057" w14:textId="6A5E2F8F" w:rsidR="003C26E9" w:rsidRDefault="00E72386" w:rsidP="00566883">
            <w:pPr>
              <w:ind w:right="37"/>
              <w:jc w:val="both"/>
              <w:rPr>
                <w:rFonts w:ascii="Arial" w:hAnsi="Arial" w:cs="Arial"/>
                <w:szCs w:val="24"/>
              </w:rPr>
            </w:pPr>
            <w:r w:rsidRPr="00891252">
              <w:rPr>
                <w:rFonts w:ascii="Arial" w:hAnsi="Arial" w:cs="Arial"/>
                <w:szCs w:val="24"/>
              </w:rPr>
              <w:t>Th</w:t>
            </w:r>
            <w:r w:rsidR="00550B6F" w:rsidRPr="00891252">
              <w:rPr>
                <w:rFonts w:ascii="Arial" w:hAnsi="Arial" w:cs="Arial"/>
                <w:szCs w:val="24"/>
              </w:rPr>
              <w:t xml:space="preserve">is </w:t>
            </w:r>
            <w:r w:rsidR="00975ADA" w:rsidRPr="00891252">
              <w:rPr>
                <w:rFonts w:ascii="Arial" w:hAnsi="Arial" w:cs="Arial"/>
                <w:szCs w:val="24"/>
              </w:rPr>
              <w:t>report summarise</w:t>
            </w:r>
            <w:r w:rsidR="00172425">
              <w:rPr>
                <w:rFonts w:ascii="Arial" w:hAnsi="Arial" w:cs="Arial"/>
                <w:szCs w:val="24"/>
              </w:rPr>
              <w:t>s</w:t>
            </w:r>
            <w:r w:rsidR="00975ADA" w:rsidRPr="00891252">
              <w:rPr>
                <w:rFonts w:ascii="Arial" w:hAnsi="Arial" w:cs="Arial"/>
                <w:szCs w:val="24"/>
              </w:rPr>
              <w:t xml:space="preserve"> and update</w:t>
            </w:r>
            <w:r w:rsidR="00172425">
              <w:rPr>
                <w:rFonts w:ascii="Arial" w:hAnsi="Arial" w:cs="Arial"/>
                <w:szCs w:val="24"/>
              </w:rPr>
              <w:t>s</w:t>
            </w:r>
            <w:r w:rsidR="00975ADA" w:rsidRPr="00891252">
              <w:rPr>
                <w:rFonts w:ascii="Arial" w:hAnsi="Arial" w:cs="Arial"/>
                <w:szCs w:val="24"/>
              </w:rPr>
              <w:t xml:space="preserve"> the following</w:t>
            </w:r>
            <w:r w:rsidR="00791E6B" w:rsidRPr="00891252">
              <w:rPr>
                <w:rFonts w:ascii="Arial" w:hAnsi="Arial" w:cs="Arial"/>
                <w:szCs w:val="24"/>
              </w:rPr>
              <w:t xml:space="preserve"> </w:t>
            </w:r>
            <w:r w:rsidR="00782766" w:rsidRPr="00891252">
              <w:rPr>
                <w:rFonts w:ascii="Arial" w:hAnsi="Arial" w:cs="Arial"/>
                <w:szCs w:val="24"/>
              </w:rPr>
              <w:t>standing</w:t>
            </w:r>
            <w:r w:rsidR="00975ADA" w:rsidRPr="00891252">
              <w:rPr>
                <w:rFonts w:ascii="Arial" w:hAnsi="Arial" w:cs="Arial"/>
                <w:szCs w:val="24"/>
              </w:rPr>
              <w:t xml:space="preserve"> HR </w:t>
            </w:r>
            <w:r w:rsidR="009765A8" w:rsidRPr="00891252">
              <w:rPr>
                <w:rFonts w:ascii="Arial" w:hAnsi="Arial" w:cs="Arial"/>
                <w:szCs w:val="24"/>
              </w:rPr>
              <w:t xml:space="preserve">matters, relating to </w:t>
            </w:r>
            <w:r w:rsidR="006B118A">
              <w:rPr>
                <w:rFonts w:ascii="Arial" w:hAnsi="Arial" w:cs="Arial"/>
                <w:szCs w:val="24"/>
              </w:rPr>
              <w:t>202</w:t>
            </w:r>
            <w:r w:rsidR="00943DD3">
              <w:rPr>
                <w:rFonts w:ascii="Arial" w:hAnsi="Arial" w:cs="Arial"/>
                <w:szCs w:val="24"/>
              </w:rPr>
              <w:t>3</w:t>
            </w:r>
            <w:r w:rsidR="006B118A">
              <w:rPr>
                <w:rFonts w:ascii="Arial" w:hAnsi="Arial" w:cs="Arial"/>
                <w:szCs w:val="24"/>
              </w:rPr>
              <w:t>/2</w:t>
            </w:r>
            <w:r w:rsidR="00943DD3">
              <w:rPr>
                <w:rFonts w:ascii="Arial" w:hAnsi="Arial" w:cs="Arial"/>
                <w:szCs w:val="24"/>
              </w:rPr>
              <w:t>4</w:t>
            </w:r>
            <w:r w:rsidR="009765A8" w:rsidRPr="00891252">
              <w:rPr>
                <w:rFonts w:ascii="Arial" w:hAnsi="Arial" w:cs="Arial"/>
                <w:szCs w:val="24"/>
              </w:rPr>
              <w:t xml:space="preserve"> </w:t>
            </w:r>
            <w:r w:rsidR="00F50517">
              <w:rPr>
                <w:rFonts w:ascii="Arial" w:hAnsi="Arial" w:cs="Arial"/>
                <w:szCs w:val="24"/>
              </w:rPr>
              <w:t>Q</w:t>
            </w:r>
            <w:r w:rsidR="00A62038">
              <w:rPr>
                <w:rFonts w:ascii="Arial" w:hAnsi="Arial" w:cs="Arial"/>
                <w:szCs w:val="24"/>
              </w:rPr>
              <w:t>2</w:t>
            </w:r>
            <w:r w:rsidR="009765A8" w:rsidRPr="00891252">
              <w:rPr>
                <w:rFonts w:ascii="Arial" w:hAnsi="Arial" w:cs="Arial"/>
                <w:szCs w:val="24"/>
              </w:rPr>
              <w:t>.</w:t>
            </w:r>
          </w:p>
          <w:p w14:paraId="2C986BD3" w14:textId="77777777" w:rsidR="005D68D0" w:rsidRPr="00891252" w:rsidRDefault="005D68D0" w:rsidP="00566883">
            <w:pPr>
              <w:ind w:right="37"/>
              <w:jc w:val="both"/>
              <w:rPr>
                <w:rFonts w:ascii="Arial" w:hAnsi="Arial" w:cs="Arial"/>
                <w:szCs w:val="24"/>
              </w:rPr>
            </w:pPr>
          </w:p>
          <w:p w14:paraId="0BD889B4" w14:textId="10FC2FA0" w:rsidR="003A43C1" w:rsidRDefault="009765A8" w:rsidP="00566883">
            <w:pPr>
              <w:pStyle w:val="ListParagraph"/>
              <w:numPr>
                <w:ilvl w:val="0"/>
                <w:numId w:val="10"/>
              </w:numPr>
              <w:spacing w:line="240" w:lineRule="auto"/>
              <w:ind w:left="458" w:right="37" w:hanging="458"/>
              <w:jc w:val="both"/>
              <w:rPr>
                <w:rFonts w:ascii="Arial" w:hAnsi="Arial" w:cs="Arial"/>
                <w:sz w:val="24"/>
                <w:szCs w:val="24"/>
              </w:rPr>
            </w:pPr>
            <w:r w:rsidRPr="00891252">
              <w:rPr>
                <w:rFonts w:ascii="Arial" w:hAnsi="Arial" w:cs="Arial"/>
                <w:sz w:val="24"/>
                <w:szCs w:val="24"/>
              </w:rPr>
              <w:t>Staffing</w:t>
            </w:r>
            <w:r w:rsidR="003A43C1" w:rsidRPr="00891252">
              <w:rPr>
                <w:rFonts w:ascii="Arial" w:hAnsi="Arial" w:cs="Arial"/>
                <w:sz w:val="24"/>
                <w:szCs w:val="24"/>
              </w:rPr>
              <w:t xml:space="preserve"> matters:</w:t>
            </w:r>
            <w:r w:rsidRPr="00891252">
              <w:rPr>
                <w:rFonts w:ascii="Arial" w:hAnsi="Arial" w:cs="Arial"/>
                <w:sz w:val="24"/>
                <w:szCs w:val="24"/>
              </w:rPr>
              <w:t xml:space="preserve"> </w:t>
            </w:r>
          </w:p>
          <w:p w14:paraId="4E7922CE" w14:textId="5F75A931" w:rsidR="00746937" w:rsidRPr="00891252" w:rsidRDefault="003A43C1" w:rsidP="00566883">
            <w:pPr>
              <w:pStyle w:val="ListParagraph"/>
              <w:numPr>
                <w:ilvl w:val="1"/>
                <w:numId w:val="4"/>
              </w:numPr>
              <w:spacing w:line="240" w:lineRule="auto"/>
              <w:ind w:right="37"/>
              <w:jc w:val="both"/>
              <w:rPr>
                <w:rFonts w:ascii="Arial" w:hAnsi="Arial" w:cs="Arial"/>
                <w:sz w:val="24"/>
                <w:szCs w:val="24"/>
              </w:rPr>
            </w:pPr>
            <w:proofErr w:type="gramStart"/>
            <w:r w:rsidRPr="00891252">
              <w:rPr>
                <w:rFonts w:ascii="Arial" w:hAnsi="Arial" w:cs="Arial"/>
                <w:sz w:val="24"/>
                <w:szCs w:val="24"/>
              </w:rPr>
              <w:t>e</w:t>
            </w:r>
            <w:r w:rsidR="009765A8" w:rsidRPr="00891252">
              <w:rPr>
                <w:rFonts w:ascii="Arial" w:hAnsi="Arial" w:cs="Arial"/>
                <w:sz w:val="24"/>
                <w:szCs w:val="24"/>
              </w:rPr>
              <w:t>stablishment</w:t>
            </w:r>
            <w:r w:rsidR="00746937" w:rsidRPr="00891252">
              <w:rPr>
                <w:rFonts w:ascii="Arial" w:hAnsi="Arial" w:cs="Arial"/>
                <w:sz w:val="24"/>
                <w:szCs w:val="24"/>
              </w:rPr>
              <w:t>;</w:t>
            </w:r>
            <w:proofErr w:type="gramEnd"/>
          </w:p>
          <w:p w14:paraId="5C376CDB" w14:textId="77777777" w:rsidR="00746937" w:rsidRPr="00891252" w:rsidRDefault="00FB0020" w:rsidP="00566883">
            <w:pPr>
              <w:pStyle w:val="ListParagraph"/>
              <w:numPr>
                <w:ilvl w:val="1"/>
                <w:numId w:val="4"/>
              </w:numPr>
              <w:spacing w:line="240" w:lineRule="auto"/>
              <w:ind w:right="37"/>
              <w:jc w:val="both"/>
              <w:rPr>
                <w:rFonts w:ascii="Arial" w:hAnsi="Arial" w:cs="Arial"/>
                <w:sz w:val="24"/>
                <w:szCs w:val="24"/>
              </w:rPr>
            </w:pPr>
            <w:proofErr w:type="gramStart"/>
            <w:r w:rsidRPr="00891252">
              <w:rPr>
                <w:rFonts w:ascii="Arial" w:hAnsi="Arial" w:cs="Arial"/>
                <w:sz w:val="24"/>
                <w:szCs w:val="24"/>
              </w:rPr>
              <w:t>turnover;</w:t>
            </w:r>
            <w:proofErr w:type="gramEnd"/>
          </w:p>
          <w:p w14:paraId="76573EBF" w14:textId="61CF14F3" w:rsidR="009765A8" w:rsidRDefault="00746937" w:rsidP="00566883">
            <w:pPr>
              <w:pStyle w:val="ListParagraph"/>
              <w:numPr>
                <w:ilvl w:val="1"/>
                <w:numId w:val="4"/>
              </w:numPr>
              <w:spacing w:line="240" w:lineRule="auto"/>
              <w:ind w:right="37"/>
              <w:jc w:val="both"/>
              <w:rPr>
                <w:rFonts w:ascii="Arial" w:hAnsi="Arial" w:cs="Arial"/>
                <w:sz w:val="24"/>
                <w:szCs w:val="24"/>
              </w:rPr>
            </w:pPr>
            <w:r w:rsidRPr="00891252">
              <w:rPr>
                <w:rFonts w:ascii="Arial" w:hAnsi="Arial" w:cs="Arial"/>
                <w:sz w:val="24"/>
                <w:szCs w:val="24"/>
              </w:rPr>
              <w:t>a</w:t>
            </w:r>
            <w:r w:rsidR="009765A8" w:rsidRPr="00891252">
              <w:rPr>
                <w:rFonts w:ascii="Arial" w:hAnsi="Arial" w:cs="Arial"/>
                <w:sz w:val="24"/>
                <w:szCs w:val="24"/>
              </w:rPr>
              <w:t xml:space="preserve">ttendance </w:t>
            </w:r>
            <w:proofErr w:type="gramStart"/>
            <w:r w:rsidR="009765A8" w:rsidRPr="00891252">
              <w:rPr>
                <w:rFonts w:ascii="Arial" w:hAnsi="Arial" w:cs="Arial"/>
                <w:sz w:val="24"/>
                <w:szCs w:val="24"/>
              </w:rPr>
              <w:t>management;</w:t>
            </w:r>
            <w:proofErr w:type="gramEnd"/>
          </w:p>
          <w:p w14:paraId="7CBED8F1" w14:textId="77777777" w:rsidR="007F2D16" w:rsidRPr="00891252" w:rsidRDefault="007F2D16" w:rsidP="00566883">
            <w:pPr>
              <w:pStyle w:val="ListParagraph"/>
              <w:spacing w:line="240" w:lineRule="auto"/>
              <w:ind w:left="1440" w:right="37"/>
              <w:jc w:val="both"/>
              <w:rPr>
                <w:rFonts w:ascii="Arial" w:hAnsi="Arial" w:cs="Arial"/>
                <w:sz w:val="24"/>
                <w:szCs w:val="24"/>
              </w:rPr>
            </w:pPr>
          </w:p>
          <w:p w14:paraId="07D1BD3F" w14:textId="77777777" w:rsidR="00891252" w:rsidRPr="00891252" w:rsidRDefault="00FB0020" w:rsidP="00566883">
            <w:pPr>
              <w:pStyle w:val="ListParagraph"/>
              <w:numPr>
                <w:ilvl w:val="0"/>
                <w:numId w:val="10"/>
              </w:numPr>
              <w:spacing w:line="240" w:lineRule="auto"/>
              <w:ind w:left="458" w:right="37" w:hanging="425"/>
              <w:jc w:val="both"/>
              <w:rPr>
                <w:rFonts w:ascii="Arial" w:hAnsi="Arial" w:cs="Arial"/>
                <w:sz w:val="24"/>
                <w:szCs w:val="24"/>
              </w:rPr>
            </w:pPr>
            <w:r w:rsidRPr="00891252">
              <w:rPr>
                <w:rFonts w:ascii="Arial" w:hAnsi="Arial" w:cs="Arial"/>
                <w:sz w:val="24"/>
                <w:szCs w:val="24"/>
              </w:rPr>
              <w:lastRenderedPageBreak/>
              <w:t>Im</w:t>
            </w:r>
            <w:r w:rsidR="00A84B1C" w:rsidRPr="00891252">
              <w:rPr>
                <w:rFonts w:ascii="Arial" w:hAnsi="Arial" w:cs="Arial"/>
                <w:sz w:val="24"/>
                <w:szCs w:val="24"/>
              </w:rPr>
              <w:t>plementation of HR policies/</w:t>
            </w:r>
            <w:proofErr w:type="gramStart"/>
            <w:r w:rsidR="00A84B1C" w:rsidRPr="00891252">
              <w:rPr>
                <w:rFonts w:ascii="Arial" w:hAnsi="Arial" w:cs="Arial"/>
                <w:sz w:val="24"/>
                <w:szCs w:val="24"/>
              </w:rPr>
              <w:t>procedures;</w:t>
            </w:r>
            <w:proofErr w:type="gramEnd"/>
          </w:p>
          <w:p w14:paraId="584AD9A8" w14:textId="3D1FCB94" w:rsidR="00791E6B" w:rsidRPr="00891252" w:rsidRDefault="00A54A90" w:rsidP="00566883">
            <w:pPr>
              <w:pStyle w:val="ListParagraph"/>
              <w:numPr>
                <w:ilvl w:val="0"/>
                <w:numId w:val="10"/>
              </w:numPr>
              <w:spacing w:line="240" w:lineRule="auto"/>
              <w:ind w:left="458" w:right="37" w:hanging="425"/>
              <w:jc w:val="both"/>
              <w:rPr>
                <w:rFonts w:ascii="Arial" w:hAnsi="Arial" w:cs="Arial"/>
                <w:szCs w:val="24"/>
              </w:rPr>
            </w:pPr>
            <w:r w:rsidRPr="00891252">
              <w:rPr>
                <w:rFonts w:ascii="Arial" w:hAnsi="Arial" w:cs="Arial"/>
                <w:sz w:val="24"/>
                <w:szCs w:val="24"/>
              </w:rPr>
              <w:t>Industrial relationships</w:t>
            </w:r>
          </w:p>
        </w:tc>
      </w:tr>
      <w:tr w:rsidR="00CD05D0" w:rsidRPr="00A90AA3" w14:paraId="40F7DF7C" w14:textId="77777777" w:rsidTr="008B7A70">
        <w:trPr>
          <w:gridAfter w:val="1"/>
          <w:wAfter w:w="123" w:type="dxa"/>
          <w:trHeight w:val="1120"/>
        </w:trPr>
        <w:tc>
          <w:tcPr>
            <w:tcW w:w="1127" w:type="dxa"/>
          </w:tcPr>
          <w:p w14:paraId="2B6A90E9" w14:textId="6B5C5628" w:rsidR="003A43C1" w:rsidRPr="00A90AA3" w:rsidRDefault="000E18CA" w:rsidP="000E18CA">
            <w:pPr>
              <w:pStyle w:val="NoSpacing"/>
            </w:pPr>
            <w:r>
              <w:lastRenderedPageBreak/>
              <w:t>2.2</w:t>
            </w:r>
          </w:p>
        </w:tc>
        <w:tc>
          <w:tcPr>
            <w:tcW w:w="8815" w:type="dxa"/>
          </w:tcPr>
          <w:p w14:paraId="351643EF" w14:textId="4F902343" w:rsidR="003A43C1" w:rsidRPr="00A90AA3" w:rsidRDefault="00791E6B" w:rsidP="00566883">
            <w:pPr>
              <w:ind w:right="37"/>
              <w:jc w:val="both"/>
              <w:rPr>
                <w:rFonts w:ascii="Arial" w:hAnsi="Arial" w:cs="Arial"/>
                <w:szCs w:val="24"/>
              </w:rPr>
            </w:pPr>
            <w:r w:rsidRPr="00A90AA3">
              <w:rPr>
                <w:rFonts w:ascii="Arial" w:hAnsi="Arial" w:cs="Arial"/>
                <w:szCs w:val="24"/>
              </w:rPr>
              <w:t>The report will also cover the following non-standard HR matter</w:t>
            </w:r>
            <w:r w:rsidR="00AF0339">
              <w:rPr>
                <w:rFonts w:ascii="Arial" w:hAnsi="Arial" w:cs="Arial"/>
                <w:szCs w:val="24"/>
              </w:rPr>
              <w:t>s</w:t>
            </w:r>
            <w:r w:rsidRPr="00A90AA3">
              <w:rPr>
                <w:rFonts w:ascii="Arial" w:hAnsi="Arial" w:cs="Arial"/>
                <w:szCs w:val="24"/>
              </w:rPr>
              <w:t>:</w:t>
            </w:r>
          </w:p>
          <w:p w14:paraId="4FA88C70" w14:textId="77777777" w:rsidR="009B2B8F" w:rsidRPr="00A90AA3" w:rsidRDefault="009B2B8F" w:rsidP="00566883">
            <w:pPr>
              <w:ind w:right="37"/>
              <w:jc w:val="both"/>
              <w:rPr>
                <w:rFonts w:ascii="Arial" w:hAnsi="Arial" w:cs="Arial"/>
                <w:szCs w:val="24"/>
              </w:rPr>
            </w:pPr>
          </w:p>
          <w:p w14:paraId="57AA15C2" w14:textId="48F80971" w:rsidR="00AF0339" w:rsidRDefault="00E4561B" w:rsidP="00566883">
            <w:pPr>
              <w:pStyle w:val="ListParagraph"/>
              <w:numPr>
                <w:ilvl w:val="0"/>
                <w:numId w:val="8"/>
              </w:numPr>
              <w:spacing w:line="240" w:lineRule="auto"/>
              <w:ind w:left="459" w:right="37" w:hanging="425"/>
              <w:jc w:val="both"/>
              <w:rPr>
                <w:rFonts w:ascii="Arial" w:hAnsi="Arial" w:cs="Arial"/>
                <w:sz w:val="24"/>
                <w:szCs w:val="24"/>
              </w:rPr>
            </w:pPr>
            <w:r>
              <w:rPr>
                <w:rFonts w:ascii="Arial" w:hAnsi="Arial" w:cs="Arial"/>
                <w:sz w:val="24"/>
                <w:szCs w:val="24"/>
              </w:rPr>
              <w:t>SJC Pay Award</w:t>
            </w:r>
          </w:p>
          <w:p w14:paraId="3245F5EA" w14:textId="6A59772C" w:rsidR="0049578A" w:rsidRPr="00CE6306" w:rsidRDefault="00E4561B" w:rsidP="00E4561B">
            <w:pPr>
              <w:pStyle w:val="ListParagraph"/>
              <w:numPr>
                <w:ilvl w:val="0"/>
                <w:numId w:val="8"/>
              </w:numPr>
              <w:spacing w:line="240" w:lineRule="auto"/>
              <w:ind w:left="459" w:right="37" w:hanging="425"/>
              <w:jc w:val="both"/>
              <w:rPr>
                <w:rFonts w:ascii="Arial" w:hAnsi="Arial" w:cs="Arial"/>
                <w:szCs w:val="24"/>
              </w:rPr>
            </w:pPr>
            <w:r>
              <w:rPr>
                <w:rFonts w:ascii="Arial" w:hAnsi="Arial" w:cs="Arial"/>
                <w:szCs w:val="24"/>
              </w:rPr>
              <w:t xml:space="preserve">Gender Pay Gap </w:t>
            </w:r>
            <w:r w:rsidR="009344B0">
              <w:rPr>
                <w:rFonts w:ascii="Arial" w:hAnsi="Arial" w:cs="Arial"/>
                <w:szCs w:val="24"/>
              </w:rPr>
              <w:t>R</w:t>
            </w:r>
            <w:r>
              <w:rPr>
                <w:rFonts w:ascii="Arial" w:hAnsi="Arial" w:cs="Arial"/>
                <w:szCs w:val="24"/>
              </w:rPr>
              <w:t>eport</w:t>
            </w:r>
          </w:p>
        </w:tc>
      </w:tr>
      <w:tr w:rsidR="00CE6306" w:rsidRPr="00A90AA3" w14:paraId="4B54BEF5" w14:textId="77777777" w:rsidTr="008B7A70">
        <w:trPr>
          <w:gridAfter w:val="1"/>
          <w:wAfter w:w="123" w:type="dxa"/>
        </w:trPr>
        <w:tc>
          <w:tcPr>
            <w:tcW w:w="1127" w:type="dxa"/>
          </w:tcPr>
          <w:p w14:paraId="50A9BD7A" w14:textId="5FA79952" w:rsidR="006D0D6A" w:rsidRPr="000E18CA" w:rsidRDefault="000E18CA" w:rsidP="000E18CA">
            <w:pPr>
              <w:pStyle w:val="NoSpacing"/>
              <w:rPr>
                <w:b/>
                <w:bCs/>
              </w:rPr>
            </w:pPr>
            <w:r w:rsidRPr="000E18CA">
              <w:rPr>
                <w:b/>
                <w:bCs/>
              </w:rPr>
              <w:t>3.</w:t>
            </w:r>
          </w:p>
        </w:tc>
        <w:tc>
          <w:tcPr>
            <w:tcW w:w="8815" w:type="dxa"/>
          </w:tcPr>
          <w:p w14:paraId="1AD6CB3D" w14:textId="1C644527" w:rsidR="006D0D6A" w:rsidRPr="00A90AA3" w:rsidRDefault="00E72A3A" w:rsidP="00566883">
            <w:pPr>
              <w:pStyle w:val="NoSpacing"/>
              <w:ind w:right="37"/>
              <w:rPr>
                <w:b/>
                <w:bCs/>
              </w:rPr>
            </w:pPr>
            <w:r w:rsidRPr="00A90AA3">
              <w:rPr>
                <w:b/>
                <w:bCs/>
              </w:rPr>
              <w:t>Update</w:t>
            </w:r>
            <w:r w:rsidR="006D0D6A" w:rsidRPr="00A90AA3">
              <w:rPr>
                <w:b/>
                <w:bCs/>
              </w:rPr>
              <w:t xml:space="preserve"> </w:t>
            </w:r>
            <w:r w:rsidR="00782766" w:rsidRPr="00A90AA3">
              <w:rPr>
                <w:b/>
                <w:bCs/>
              </w:rPr>
              <w:t>on standing HR matter</w:t>
            </w:r>
            <w:r w:rsidR="00F80CF1">
              <w:rPr>
                <w:b/>
                <w:bCs/>
              </w:rPr>
              <w:t>s</w:t>
            </w:r>
            <w:r w:rsidRPr="00A90AA3">
              <w:rPr>
                <w:b/>
                <w:bCs/>
              </w:rPr>
              <w:t xml:space="preserve"> </w:t>
            </w:r>
            <w:r w:rsidR="00F50517">
              <w:rPr>
                <w:b/>
                <w:bCs/>
              </w:rPr>
              <w:t>Q</w:t>
            </w:r>
            <w:r w:rsidR="00750E83">
              <w:rPr>
                <w:b/>
                <w:bCs/>
              </w:rPr>
              <w:t>2</w:t>
            </w:r>
            <w:r w:rsidR="00F50517">
              <w:rPr>
                <w:b/>
                <w:bCs/>
              </w:rPr>
              <w:t xml:space="preserve"> (</w:t>
            </w:r>
            <w:r w:rsidR="00750E83">
              <w:rPr>
                <w:b/>
                <w:bCs/>
              </w:rPr>
              <w:t>July - Sept</w:t>
            </w:r>
            <w:r w:rsidR="00C2197A">
              <w:rPr>
                <w:b/>
                <w:bCs/>
              </w:rPr>
              <w:t xml:space="preserve"> 2023</w:t>
            </w:r>
            <w:r w:rsidR="00F50517">
              <w:rPr>
                <w:b/>
                <w:bCs/>
              </w:rPr>
              <w:t>)</w:t>
            </w:r>
          </w:p>
          <w:p w14:paraId="3D3F9570" w14:textId="77777777" w:rsidR="006D0D6A" w:rsidRPr="00A90AA3" w:rsidRDefault="006D0D6A" w:rsidP="00566883">
            <w:pPr>
              <w:pStyle w:val="NoSpacing"/>
              <w:ind w:right="37"/>
              <w:rPr>
                <w:b/>
                <w:bCs/>
              </w:rPr>
            </w:pPr>
          </w:p>
        </w:tc>
      </w:tr>
      <w:tr w:rsidR="00CE6306" w:rsidRPr="00A90AA3" w14:paraId="3AAC68DE" w14:textId="77777777" w:rsidTr="008B7A70">
        <w:trPr>
          <w:gridAfter w:val="1"/>
          <w:wAfter w:w="123" w:type="dxa"/>
        </w:trPr>
        <w:tc>
          <w:tcPr>
            <w:tcW w:w="1127" w:type="dxa"/>
          </w:tcPr>
          <w:p w14:paraId="0D2E8B9B" w14:textId="72573105" w:rsidR="006D0D6A" w:rsidRPr="00A90AA3" w:rsidRDefault="000E18CA" w:rsidP="000E18CA">
            <w:pPr>
              <w:pStyle w:val="NoSpacing"/>
              <w:ind w:right="-243"/>
            </w:pPr>
            <w:r>
              <w:t>3.1</w:t>
            </w:r>
          </w:p>
        </w:tc>
        <w:tc>
          <w:tcPr>
            <w:tcW w:w="8815" w:type="dxa"/>
          </w:tcPr>
          <w:p w14:paraId="0B1ED35C" w14:textId="4E1C8A1C" w:rsidR="006D0D6A" w:rsidRPr="00A90AA3" w:rsidRDefault="00F662ED" w:rsidP="00566883">
            <w:pPr>
              <w:ind w:right="37"/>
              <w:jc w:val="both"/>
              <w:rPr>
                <w:rFonts w:ascii="Arial" w:hAnsi="Arial" w:cs="Arial"/>
                <w:szCs w:val="24"/>
              </w:rPr>
            </w:pPr>
            <w:r w:rsidRPr="00A90AA3">
              <w:rPr>
                <w:rFonts w:ascii="Arial" w:hAnsi="Arial" w:cs="Arial"/>
                <w:szCs w:val="24"/>
                <w:u w:val="single"/>
              </w:rPr>
              <w:t>Staffing matters</w:t>
            </w:r>
            <w:r w:rsidR="00EF4209" w:rsidRPr="00A90AA3">
              <w:rPr>
                <w:rFonts w:ascii="Arial" w:hAnsi="Arial" w:cs="Arial"/>
                <w:szCs w:val="24"/>
                <w:u w:val="single"/>
              </w:rPr>
              <w:t xml:space="preserve"> – establishment</w:t>
            </w:r>
          </w:p>
          <w:p w14:paraId="4DAE818A" w14:textId="547E44B6" w:rsidR="00EF4209" w:rsidRPr="00A90AA3" w:rsidRDefault="00EF4209" w:rsidP="00566883">
            <w:pPr>
              <w:ind w:right="37"/>
              <w:jc w:val="both"/>
              <w:rPr>
                <w:rFonts w:ascii="Arial" w:hAnsi="Arial" w:cs="Arial"/>
                <w:szCs w:val="24"/>
              </w:rPr>
            </w:pPr>
          </w:p>
        </w:tc>
      </w:tr>
      <w:tr w:rsidR="00CE6306" w:rsidRPr="00A90AA3" w14:paraId="25E2C41F" w14:textId="77777777" w:rsidTr="008B7A70">
        <w:trPr>
          <w:gridAfter w:val="1"/>
          <w:wAfter w:w="123" w:type="dxa"/>
        </w:trPr>
        <w:tc>
          <w:tcPr>
            <w:tcW w:w="1127" w:type="dxa"/>
          </w:tcPr>
          <w:p w14:paraId="4EE20392" w14:textId="5EEB133B" w:rsidR="00EF4209" w:rsidRPr="00A90AA3" w:rsidRDefault="000E18CA" w:rsidP="000E18CA">
            <w:pPr>
              <w:pStyle w:val="NoSpacing"/>
              <w:ind w:left="720" w:hanging="683"/>
            </w:pPr>
            <w:r>
              <w:t>3.1.1</w:t>
            </w:r>
          </w:p>
        </w:tc>
        <w:tc>
          <w:tcPr>
            <w:tcW w:w="8815" w:type="dxa"/>
          </w:tcPr>
          <w:p w14:paraId="09DD75D1" w14:textId="3CF4B878" w:rsidR="00EF4209" w:rsidRPr="00A90AA3" w:rsidRDefault="00EE3EB9" w:rsidP="4E3E9867">
            <w:pPr>
              <w:ind w:right="37"/>
              <w:jc w:val="both"/>
              <w:rPr>
                <w:rFonts w:ascii="Arial" w:hAnsi="Arial" w:cs="Arial"/>
              </w:rPr>
            </w:pPr>
            <w:r w:rsidRPr="4E3E9867">
              <w:rPr>
                <w:rFonts w:ascii="Arial" w:hAnsi="Arial" w:cs="Arial"/>
              </w:rPr>
              <w:t xml:space="preserve">Changes to the charity’s staffing establishment = </w:t>
            </w:r>
            <w:r w:rsidR="00983F17" w:rsidRPr="4E3E9867">
              <w:rPr>
                <w:rFonts w:ascii="Arial" w:hAnsi="Arial" w:cs="Arial"/>
              </w:rPr>
              <w:t>+0.</w:t>
            </w:r>
            <w:r w:rsidR="00983F17" w:rsidRPr="33779C5F">
              <w:rPr>
                <w:rFonts w:ascii="Arial" w:hAnsi="Arial" w:cs="Arial"/>
              </w:rPr>
              <w:t>3</w:t>
            </w:r>
            <w:r w:rsidR="006B4B89" w:rsidRPr="4E3E9867">
              <w:rPr>
                <w:rFonts w:ascii="Arial" w:hAnsi="Arial" w:cs="Arial"/>
              </w:rPr>
              <w:t xml:space="preserve"> FTE</w:t>
            </w:r>
            <w:r w:rsidR="00983F17" w:rsidRPr="4E3E9867">
              <w:rPr>
                <w:rFonts w:ascii="Arial" w:hAnsi="Arial" w:cs="Arial"/>
              </w:rPr>
              <w:t xml:space="preserve"> </w:t>
            </w:r>
            <w:r w:rsidR="00DA3DEC" w:rsidRPr="4E3E9867">
              <w:rPr>
                <w:rFonts w:ascii="Arial" w:hAnsi="Arial" w:cs="Arial"/>
              </w:rPr>
              <w:t>(</w:t>
            </w:r>
            <w:r w:rsidR="00DA3DEC" w:rsidRPr="4E3E9867">
              <w:rPr>
                <w:rFonts w:ascii="Arial" w:hAnsi="Arial" w:cs="Arial"/>
                <w:b/>
                <w:bCs/>
              </w:rPr>
              <w:t>Appendix A</w:t>
            </w:r>
            <w:r w:rsidR="00DA3DEC" w:rsidRPr="4E3E9867">
              <w:rPr>
                <w:rFonts w:ascii="Arial" w:hAnsi="Arial" w:cs="Arial"/>
              </w:rPr>
              <w:t>)</w:t>
            </w:r>
          </w:p>
          <w:p w14:paraId="4FAFC9EF" w14:textId="4DD1EF7D" w:rsidR="007D5F47" w:rsidRPr="00A90AA3" w:rsidRDefault="007D5F47" w:rsidP="00566883">
            <w:pPr>
              <w:ind w:right="37"/>
              <w:jc w:val="both"/>
              <w:rPr>
                <w:rFonts w:ascii="Arial" w:hAnsi="Arial" w:cs="Arial"/>
                <w:szCs w:val="24"/>
              </w:rPr>
            </w:pPr>
          </w:p>
        </w:tc>
      </w:tr>
      <w:tr w:rsidR="00CE6306" w:rsidRPr="00A90AA3" w14:paraId="63B1C652" w14:textId="77777777" w:rsidTr="008B7A70">
        <w:trPr>
          <w:gridAfter w:val="1"/>
          <w:wAfter w:w="123" w:type="dxa"/>
        </w:trPr>
        <w:tc>
          <w:tcPr>
            <w:tcW w:w="1127" w:type="dxa"/>
          </w:tcPr>
          <w:p w14:paraId="42A6F98D" w14:textId="575FEDB6" w:rsidR="007D5F47" w:rsidRPr="00A90AA3" w:rsidRDefault="000E18CA" w:rsidP="000E18CA">
            <w:pPr>
              <w:pStyle w:val="NoSpacing"/>
              <w:ind w:left="720" w:hanging="720"/>
            </w:pPr>
            <w:r>
              <w:t>3.1.2</w:t>
            </w:r>
          </w:p>
        </w:tc>
        <w:tc>
          <w:tcPr>
            <w:tcW w:w="8815" w:type="dxa"/>
          </w:tcPr>
          <w:p w14:paraId="110C68D0" w14:textId="6F9E3278" w:rsidR="00415F0A" w:rsidRDefault="00415F0A" w:rsidP="00566883">
            <w:pPr>
              <w:ind w:right="37"/>
              <w:jc w:val="both"/>
              <w:rPr>
                <w:rFonts w:ascii="Arial" w:hAnsi="Arial" w:cs="Arial"/>
              </w:rPr>
            </w:pPr>
            <w:r>
              <w:rPr>
                <w:rFonts w:ascii="Arial" w:hAnsi="Arial" w:cs="Arial"/>
              </w:rPr>
              <w:t>Quarter 2 (2023/24) establishment =</w:t>
            </w:r>
            <w:r w:rsidR="008D1991">
              <w:rPr>
                <w:rFonts w:ascii="Arial" w:hAnsi="Arial" w:cs="Arial"/>
              </w:rPr>
              <w:t xml:space="preserve"> </w:t>
            </w:r>
            <w:r w:rsidR="00983F17">
              <w:rPr>
                <w:rFonts w:ascii="Arial" w:hAnsi="Arial" w:cs="Arial"/>
              </w:rPr>
              <w:t>846.</w:t>
            </w:r>
            <w:r w:rsidR="4E1CEBFE" w:rsidRPr="33779C5F">
              <w:rPr>
                <w:rFonts w:ascii="Arial" w:hAnsi="Arial" w:cs="Arial"/>
              </w:rPr>
              <w:t>83</w:t>
            </w:r>
            <w:r w:rsidR="009B6AA0">
              <w:rPr>
                <w:rFonts w:ascii="Arial" w:hAnsi="Arial" w:cs="Arial"/>
              </w:rPr>
              <w:t xml:space="preserve"> FTE</w:t>
            </w:r>
          </w:p>
          <w:p w14:paraId="0DBB320E" w14:textId="0AAFFAF5" w:rsidR="00F50517" w:rsidRDefault="5914FB93" w:rsidP="00566883">
            <w:pPr>
              <w:ind w:right="37"/>
              <w:jc w:val="both"/>
              <w:rPr>
                <w:rFonts w:ascii="Arial" w:hAnsi="Arial" w:cs="Arial"/>
              </w:rPr>
            </w:pPr>
            <w:r w:rsidRPr="057B8305">
              <w:rPr>
                <w:rFonts w:ascii="Arial" w:hAnsi="Arial" w:cs="Arial"/>
              </w:rPr>
              <w:t xml:space="preserve">Quarter </w:t>
            </w:r>
            <w:r w:rsidR="008C5460">
              <w:rPr>
                <w:rFonts w:ascii="Arial" w:hAnsi="Arial" w:cs="Arial"/>
              </w:rPr>
              <w:t>1</w:t>
            </w:r>
            <w:r w:rsidR="008D1991">
              <w:rPr>
                <w:rFonts w:ascii="Arial" w:hAnsi="Arial" w:cs="Arial"/>
              </w:rPr>
              <w:t xml:space="preserve"> </w:t>
            </w:r>
            <w:r w:rsidRPr="057B8305">
              <w:rPr>
                <w:rFonts w:ascii="Arial" w:hAnsi="Arial" w:cs="Arial"/>
              </w:rPr>
              <w:t>(202</w:t>
            </w:r>
            <w:r w:rsidR="008C5460">
              <w:rPr>
                <w:rFonts w:ascii="Arial" w:hAnsi="Arial" w:cs="Arial"/>
              </w:rPr>
              <w:t>3</w:t>
            </w:r>
            <w:r w:rsidRPr="057B8305">
              <w:rPr>
                <w:rFonts w:ascii="Arial" w:hAnsi="Arial" w:cs="Arial"/>
              </w:rPr>
              <w:t>/2</w:t>
            </w:r>
            <w:r w:rsidR="008C5460">
              <w:rPr>
                <w:rFonts w:ascii="Arial" w:hAnsi="Arial" w:cs="Arial"/>
              </w:rPr>
              <w:t>4</w:t>
            </w:r>
            <w:r w:rsidRPr="057B8305">
              <w:rPr>
                <w:rFonts w:ascii="Arial" w:hAnsi="Arial" w:cs="Arial"/>
              </w:rPr>
              <w:t xml:space="preserve">) establishment = </w:t>
            </w:r>
            <w:r w:rsidR="000625D1">
              <w:rPr>
                <w:rFonts w:ascii="Arial" w:hAnsi="Arial" w:cs="Arial"/>
              </w:rPr>
              <w:t xml:space="preserve">846.53 </w:t>
            </w:r>
            <w:r w:rsidRPr="057B8305">
              <w:rPr>
                <w:rFonts w:ascii="Arial" w:hAnsi="Arial" w:cs="Arial"/>
              </w:rPr>
              <w:t>FTE</w:t>
            </w:r>
          </w:p>
          <w:p w14:paraId="1AC070BD" w14:textId="28318E34" w:rsidR="00193FE5" w:rsidRPr="00A90AA3" w:rsidRDefault="00193FE5" w:rsidP="00415F0A">
            <w:pPr>
              <w:ind w:right="37"/>
              <w:jc w:val="both"/>
              <w:rPr>
                <w:rFonts w:ascii="Arial" w:hAnsi="Arial" w:cs="Arial"/>
                <w:szCs w:val="24"/>
              </w:rPr>
            </w:pPr>
          </w:p>
        </w:tc>
      </w:tr>
      <w:tr w:rsidR="00CE6306" w:rsidRPr="00A90AA3" w14:paraId="65186E86" w14:textId="77777777" w:rsidTr="008B7A70">
        <w:trPr>
          <w:gridAfter w:val="1"/>
          <w:wAfter w:w="123" w:type="dxa"/>
        </w:trPr>
        <w:tc>
          <w:tcPr>
            <w:tcW w:w="1127" w:type="dxa"/>
          </w:tcPr>
          <w:p w14:paraId="31CA7A2B" w14:textId="564EEEDE" w:rsidR="00130A7A" w:rsidRPr="00A90AA3" w:rsidRDefault="00E55373" w:rsidP="000E18CA">
            <w:pPr>
              <w:pStyle w:val="NoSpacing"/>
              <w:ind w:left="792" w:hanging="792"/>
            </w:pPr>
            <w:r>
              <w:t>3.2</w:t>
            </w:r>
          </w:p>
        </w:tc>
        <w:tc>
          <w:tcPr>
            <w:tcW w:w="8815" w:type="dxa"/>
          </w:tcPr>
          <w:p w14:paraId="761B363A" w14:textId="42CB2C98" w:rsidR="00130A7A" w:rsidRDefault="00DF00B6" w:rsidP="00566883">
            <w:pPr>
              <w:ind w:right="37"/>
              <w:jc w:val="both"/>
              <w:rPr>
                <w:rFonts w:ascii="Arial" w:hAnsi="Arial" w:cs="Arial"/>
                <w:szCs w:val="24"/>
              </w:rPr>
            </w:pPr>
            <w:r>
              <w:rPr>
                <w:rFonts w:ascii="Arial" w:hAnsi="Arial" w:cs="Arial"/>
                <w:szCs w:val="24"/>
                <w:u w:val="single"/>
              </w:rPr>
              <w:t>Staffing matters – turnover</w:t>
            </w:r>
          </w:p>
          <w:p w14:paraId="3FBD8808" w14:textId="7259B254" w:rsidR="00DF00B6" w:rsidRPr="00DF00B6" w:rsidRDefault="00DF00B6" w:rsidP="00566883">
            <w:pPr>
              <w:ind w:right="37"/>
              <w:jc w:val="both"/>
              <w:rPr>
                <w:rFonts w:ascii="Arial" w:hAnsi="Arial" w:cs="Arial"/>
                <w:szCs w:val="24"/>
              </w:rPr>
            </w:pPr>
          </w:p>
        </w:tc>
      </w:tr>
      <w:tr w:rsidR="00CE6306" w:rsidRPr="00A90AA3" w14:paraId="5794D4C1" w14:textId="77777777" w:rsidTr="008B7A70">
        <w:trPr>
          <w:gridAfter w:val="1"/>
          <w:wAfter w:w="123" w:type="dxa"/>
        </w:trPr>
        <w:tc>
          <w:tcPr>
            <w:tcW w:w="1127" w:type="dxa"/>
          </w:tcPr>
          <w:p w14:paraId="21C5979A" w14:textId="5F68FAF7" w:rsidR="00644777" w:rsidRPr="00A90AA3" w:rsidRDefault="00E55373" w:rsidP="000E18CA">
            <w:pPr>
              <w:pStyle w:val="NoSpacing"/>
              <w:ind w:left="720" w:hanging="720"/>
            </w:pPr>
            <w:r>
              <w:t>3.2.</w:t>
            </w:r>
            <w:r w:rsidR="00DF3ED7">
              <w:t>1</w:t>
            </w:r>
          </w:p>
        </w:tc>
        <w:tc>
          <w:tcPr>
            <w:tcW w:w="8815" w:type="dxa"/>
          </w:tcPr>
          <w:p w14:paraId="0A03B053" w14:textId="0CFEE4F8" w:rsidR="00E5383A" w:rsidRPr="003525C5" w:rsidRDefault="00644777" w:rsidP="00566883">
            <w:pPr>
              <w:ind w:right="37"/>
              <w:jc w:val="both"/>
              <w:rPr>
                <w:rFonts w:ascii="Arial" w:hAnsi="Arial" w:cs="Arial"/>
                <w:szCs w:val="24"/>
              </w:rPr>
            </w:pPr>
            <w:r w:rsidRPr="003525C5">
              <w:rPr>
                <w:rFonts w:ascii="Arial" w:hAnsi="Arial" w:cs="Arial"/>
                <w:szCs w:val="24"/>
              </w:rPr>
              <w:t>The number of resignations</w:t>
            </w:r>
            <w:r w:rsidR="00E5383A" w:rsidRPr="003525C5">
              <w:rPr>
                <w:rFonts w:ascii="Arial" w:hAnsi="Arial" w:cs="Arial"/>
                <w:szCs w:val="24"/>
              </w:rPr>
              <w:t xml:space="preserve"> as a percentage of posts</w:t>
            </w:r>
            <w:r w:rsidR="006E4CB1">
              <w:rPr>
                <w:rFonts w:ascii="Arial" w:hAnsi="Arial" w:cs="Arial"/>
                <w:szCs w:val="24"/>
              </w:rPr>
              <w:t xml:space="preserve"> (number in brackets denotes the number of individual resignations)</w:t>
            </w:r>
            <w:r w:rsidRPr="003525C5">
              <w:rPr>
                <w:rFonts w:ascii="Arial" w:hAnsi="Arial" w:cs="Arial"/>
                <w:szCs w:val="24"/>
              </w:rPr>
              <w:t xml:space="preserve"> </w:t>
            </w:r>
            <w:r w:rsidR="00E5383A" w:rsidRPr="003525C5">
              <w:rPr>
                <w:rFonts w:ascii="Arial" w:hAnsi="Arial" w:cs="Arial"/>
                <w:szCs w:val="24"/>
              </w:rPr>
              <w:t>during</w:t>
            </w:r>
            <w:r w:rsidR="006E4CB1">
              <w:rPr>
                <w:rFonts w:ascii="Arial" w:hAnsi="Arial" w:cs="Arial"/>
                <w:szCs w:val="24"/>
              </w:rPr>
              <w:t xml:space="preserve"> the quarter</w:t>
            </w:r>
            <w:r w:rsidR="00E5383A" w:rsidRPr="003525C5">
              <w:rPr>
                <w:rFonts w:ascii="Arial" w:hAnsi="Arial" w:cs="Arial"/>
                <w:szCs w:val="24"/>
              </w:rPr>
              <w:t xml:space="preserve"> was:</w:t>
            </w:r>
          </w:p>
          <w:p w14:paraId="14E9122E" w14:textId="77777777" w:rsidR="00E5383A" w:rsidRPr="003525C5" w:rsidRDefault="00E5383A" w:rsidP="00566883">
            <w:pPr>
              <w:ind w:right="37"/>
              <w:jc w:val="both"/>
              <w:rPr>
                <w:rFonts w:ascii="Arial" w:hAnsi="Arial" w:cs="Arial"/>
                <w:szCs w:val="24"/>
              </w:rPr>
            </w:pPr>
          </w:p>
          <w:p w14:paraId="1798C370" w14:textId="4FAB05D5" w:rsidR="00373F17" w:rsidRPr="00F54564" w:rsidRDefault="0070389F"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July</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00EE047B">
              <w:rPr>
                <w:rFonts w:ascii="Arial" w:hAnsi="Arial" w:cs="Arial"/>
                <w:sz w:val="24"/>
                <w:szCs w:val="24"/>
              </w:rPr>
              <w:t>1.5</w:t>
            </w:r>
            <w:r w:rsidR="002C0D11">
              <w:rPr>
                <w:rFonts w:ascii="Arial" w:hAnsi="Arial" w:cs="Arial"/>
                <w:sz w:val="24"/>
                <w:szCs w:val="24"/>
              </w:rPr>
              <w:t>% (</w:t>
            </w:r>
            <w:r w:rsidR="005A657C">
              <w:rPr>
                <w:rFonts w:ascii="Arial" w:hAnsi="Arial" w:cs="Arial"/>
                <w:sz w:val="24"/>
                <w:szCs w:val="24"/>
              </w:rPr>
              <w:t>15)</w:t>
            </w:r>
          </w:p>
          <w:p w14:paraId="5D04A617" w14:textId="174BBB36" w:rsidR="00373F17" w:rsidRPr="00F54564" w:rsidRDefault="0070389F"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August</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00B43889">
              <w:rPr>
                <w:rFonts w:ascii="Arial" w:hAnsi="Arial" w:cs="Arial"/>
                <w:sz w:val="24"/>
                <w:szCs w:val="24"/>
              </w:rPr>
              <w:t>1.0</w:t>
            </w:r>
            <w:r w:rsidR="002C0D11">
              <w:rPr>
                <w:rFonts w:ascii="Arial" w:hAnsi="Arial" w:cs="Arial"/>
                <w:sz w:val="24"/>
                <w:szCs w:val="24"/>
              </w:rPr>
              <w:t>% (</w:t>
            </w:r>
            <w:r w:rsidR="00B43889">
              <w:rPr>
                <w:rFonts w:ascii="Arial" w:hAnsi="Arial" w:cs="Arial"/>
                <w:sz w:val="24"/>
                <w:szCs w:val="24"/>
              </w:rPr>
              <w:t>10</w:t>
            </w:r>
            <w:r w:rsidR="005A657C">
              <w:rPr>
                <w:rFonts w:ascii="Arial" w:hAnsi="Arial" w:cs="Arial"/>
                <w:sz w:val="24"/>
                <w:szCs w:val="24"/>
              </w:rPr>
              <w:t>)</w:t>
            </w:r>
          </w:p>
          <w:p w14:paraId="3455B887" w14:textId="4419304A" w:rsidR="00AA7491" w:rsidRPr="00132BFC" w:rsidRDefault="0070389F"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September</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002C0D11">
              <w:rPr>
                <w:rFonts w:ascii="Arial" w:hAnsi="Arial" w:cs="Arial"/>
                <w:sz w:val="24"/>
                <w:szCs w:val="24"/>
              </w:rPr>
              <w:t>1.</w:t>
            </w:r>
            <w:r w:rsidR="00B43889">
              <w:rPr>
                <w:rFonts w:ascii="Arial" w:hAnsi="Arial" w:cs="Arial"/>
                <w:sz w:val="24"/>
                <w:szCs w:val="24"/>
              </w:rPr>
              <w:t>3</w:t>
            </w:r>
            <w:r w:rsidR="002C0D11">
              <w:rPr>
                <w:rFonts w:ascii="Arial" w:hAnsi="Arial" w:cs="Arial"/>
                <w:sz w:val="24"/>
                <w:szCs w:val="24"/>
              </w:rPr>
              <w:t>% (</w:t>
            </w:r>
            <w:r w:rsidR="005A657C">
              <w:rPr>
                <w:rFonts w:ascii="Arial" w:hAnsi="Arial" w:cs="Arial"/>
                <w:sz w:val="24"/>
                <w:szCs w:val="24"/>
              </w:rPr>
              <w:t>1</w:t>
            </w:r>
            <w:r w:rsidR="00B43889">
              <w:rPr>
                <w:rFonts w:ascii="Arial" w:hAnsi="Arial" w:cs="Arial"/>
                <w:sz w:val="24"/>
                <w:szCs w:val="24"/>
              </w:rPr>
              <w:t>3</w:t>
            </w:r>
            <w:r w:rsidR="005A657C">
              <w:rPr>
                <w:rFonts w:ascii="Arial" w:hAnsi="Arial" w:cs="Arial"/>
                <w:sz w:val="24"/>
                <w:szCs w:val="24"/>
              </w:rPr>
              <w:t>)</w:t>
            </w:r>
          </w:p>
        </w:tc>
      </w:tr>
      <w:tr w:rsidR="00CE6306" w:rsidRPr="00A90AA3" w14:paraId="6070BDBC" w14:textId="77777777" w:rsidTr="008B7A70">
        <w:trPr>
          <w:gridAfter w:val="1"/>
          <w:wAfter w:w="123" w:type="dxa"/>
        </w:trPr>
        <w:tc>
          <w:tcPr>
            <w:tcW w:w="1127" w:type="dxa"/>
          </w:tcPr>
          <w:p w14:paraId="7FB5792C" w14:textId="7D1036CF" w:rsidR="004E1B47" w:rsidRPr="00A90AA3" w:rsidRDefault="6FD39791" w:rsidP="000E18CA">
            <w:pPr>
              <w:pStyle w:val="NoSpacing"/>
              <w:ind w:left="792" w:hanging="755"/>
            </w:pPr>
            <w:r>
              <w:t>3.3</w:t>
            </w:r>
          </w:p>
        </w:tc>
        <w:tc>
          <w:tcPr>
            <w:tcW w:w="8815" w:type="dxa"/>
          </w:tcPr>
          <w:p w14:paraId="2EBCECBB" w14:textId="492791FB" w:rsidR="004E1B47" w:rsidRDefault="1EAADDC2" w:rsidP="1CC200DC">
            <w:pPr>
              <w:ind w:right="37"/>
              <w:jc w:val="both"/>
              <w:rPr>
                <w:rFonts w:ascii="Arial" w:hAnsi="Arial" w:cs="Arial"/>
                <w:szCs w:val="24"/>
              </w:rPr>
            </w:pPr>
            <w:r>
              <w:rPr>
                <w:rFonts w:ascii="Arial" w:hAnsi="Arial" w:cs="Arial"/>
                <w:szCs w:val="24"/>
                <w:u w:val="single"/>
              </w:rPr>
              <w:t>Staff</w:t>
            </w:r>
            <w:r w:rsidR="51CC2F95">
              <w:rPr>
                <w:rFonts w:ascii="Arial" w:hAnsi="Arial" w:cs="Arial"/>
                <w:szCs w:val="24"/>
                <w:u w:val="single"/>
              </w:rPr>
              <w:t>ing</w:t>
            </w:r>
            <w:r>
              <w:rPr>
                <w:rFonts w:ascii="Arial" w:hAnsi="Arial" w:cs="Arial"/>
                <w:szCs w:val="24"/>
                <w:u w:val="single"/>
              </w:rPr>
              <w:t xml:space="preserve"> matters – attendance management</w:t>
            </w:r>
          </w:p>
          <w:p w14:paraId="6FF68C49" w14:textId="3F1BF619" w:rsidR="004E1B47" w:rsidRPr="004E1B47" w:rsidRDefault="004E1B47" w:rsidP="00566883">
            <w:pPr>
              <w:ind w:right="37"/>
              <w:jc w:val="both"/>
              <w:rPr>
                <w:rFonts w:ascii="Arial" w:hAnsi="Arial" w:cs="Arial"/>
                <w:szCs w:val="24"/>
              </w:rPr>
            </w:pPr>
          </w:p>
        </w:tc>
      </w:tr>
      <w:tr w:rsidR="00CE6306" w:rsidRPr="00A90AA3" w14:paraId="0B9031E2" w14:textId="77777777" w:rsidTr="008B7A70">
        <w:trPr>
          <w:gridAfter w:val="1"/>
          <w:wAfter w:w="123" w:type="dxa"/>
        </w:trPr>
        <w:tc>
          <w:tcPr>
            <w:tcW w:w="1127" w:type="dxa"/>
          </w:tcPr>
          <w:p w14:paraId="2E842544" w14:textId="68BDE220" w:rsidR="00794E6A" w:rsidRPr="00A90AA3" w:rsidRDefault="00E55373" w:rsidP="000E18CA">
            <w:pPr>
              <w:pStyle w:val="NoSpacing"/>
              <w:ind w:left="720" w:hanging="683"/>
            </w:pPr>
            <w:r>
              <w:t>3.3.1</w:t>
            </w:r>
          </w:p>
        </w:tc>
        <w:tc>
          <w:tcPr>
            <w:tcW w:w="8815" w:type="dxa"/>
          </w:tcPr>
          <w:p w14:paraId="55235983" w14:textId="2BDCEDD4" w:rsidR="00794E6A" w:rsidRPr="000F140A" w:rsidRDefault="00322420" w:rsidP="00566883">
            <w:pPr>
              <w:ind w:right="37"/>
              <w:jc w:val="both"/>
              <w:rPr>
                <w:rFonts w:ascii="Arial" w:hAnsi="Arial" w:cs="Arial"/>
                <w:szCs w:val="24"/>
              </w:rPr>
            </w:pPr>
            <w:r w:rsidRPr="000F140A">
              <w:rPr>
                <w:rFonts w:ascii="Arial" w:hAnsi="Arial" w:cs="Arial"/>
                <w:szCs w:val="24"/>
              </w:rPr>
              <w:t>Attendance management</w:t>
            </w:r>
            <w:r w:rsidR="000F140A" w:rsidRPr="000F140A">
              <w:rPr>
                <w:rFonts w:ascii="Arial" w:hAnsi="Arial" w:cs="Arial"/>
                <w:szCs w:val="24"/>
              </w:rPr>
              <w:t xml:space="preserve"> </w:t>
            </w:r>
            <w:r w:rsidR="007C65C4" w:rsidRPr="007C65C4">
              <w:rPr>
                <w:rFonts w:ascii="Arial" w:hAnsi="Arial" w:cs="Arial"/>
                <w:b/>
                <w:bCs/>
                <w:szCs w:val="24"/>
              </w:rPr>
              <w:t>(Appendix B)</w:t>
            </w:r>
            <w:r w:rsidR="007C65C4">
              <w:rPr>
                <w:rFonts w:ascii="Arial" w:hAnsi="Arial" w:cs="Arial"/>
                <w:szCs w:val="24"/>
              </w:rPr>
              <w:t xml:space="preserve"> </w:t>
            </w:r>
            <w:r w:rsidRPr="000F140A">
              <w:rPr>
                <w:rFonts w:ascii="Arial" w:hAnsi="Arial" w:cs="Arial"/>
                <w:szCs w:val="24"/>
              </w:rPr>
              <w:t>can be summarised thus:</w:t>
            </w:r>
          </w:p>
          <w:p w14:paraId="1FB6283D" w14:textId="77777777" w:rsidR="00322420" w:rsidRPr="000F140A" w:rsidRDefault="00322420" w:rsidP="00566883">
            <w:pPr>
              <w:ind w:right="37"/>
              <w:jc w:val="both"/>
              <w:rPr>
                <w:rFonts w:ascii="Arial" w:hAnsi="Arial" w:cs="Arial"/>
                <w:szCs w:val="24"/>
              </w:rPr>
            </w:pPr>
          </w:p>
          <w:p w14:paraId="08DF880D" w14:textId="5F3F6C37" w:rsidR="00322420" w:rsidRDefault="000F140A"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Short-term absence (</w:t>
            </w:r>
            <w:r w:rsidR="00C647DC">
              <w:rPr>
                <w:rFonts w:ascii="Arial" w:hAnsi="Arial" w:cs="Arial"/>
                <w:sz w:val="24"/>
                <w:szCs w:val="24"/>
              </w:rPr>
              <w:t xml:space="preserve">&lt;10 consecutive working days) = </w:t>
            </w:r>
            <w:r w:rsidR="00C83812">
              <w:rPr>
                <w:rFonts w:ascii="Arial" w:hAnsi="Arial" w:cs="Arial"/>
                <w:sz w:val="24"/>
                <w:szCs w:val="24"/>
              </w:rPr>
              <w:t>-</w:t>
            </w:r>
            <w:r w:rsidR="00F207D8">
              <w:rPr>
                <w:rFonts w:ascii="Arial" w:hAnsi="Arial" w:cs="Arial"/>
                <w:sz w:val="24"/>
                <w:szCs w:val="24"/>
              </w:rPr>
              <w:t>0.</w:t>
            </w:r>
            <w:r w:rsidR="00AB498E">
              <w:rPr>
                <w:rFonts w:ascii="Arial" w:hAnsi="Arial" w:cs="Arial"/>
                <w:sz w:val="24"/>
                <w:szCs w:val="24"/>
              </w:rPr>
              <w:t>2</w:t>
            </w:r>
          </w:p>
          <w:p w14:paraId="32F18DD3" w14:textId="502AA6A9" w:rsidR="00511CF7" w:rsidRDefault="00511CF7"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Long-term absence (&gt;10</w:t>
            </w:r>
            <w:r w:rsidR="004C0156">
              <w:rPr>
                <w:rFonts w:ascii="Arial" w:hAnsi="Arial" w:cs="Arial"/>
                <w:sz w:val="24"/>
                <w:szCs w:val="24"/>
              </w:rPr>
              <w:t xml:space="preserve"> consecutive working days) = </w:t>
            </w:r>
            <w:r w:rsidR="00F207D8">
              <w:rPr>
                <w:rFonts w:ascii="Arial" w:hAnsi="Arial" w:cs="Arial"/>
                <w:sz w:val="24"/>
                <w:szCs w:val="24"/>
              </w:rPr>
              <w:t>-</w:t>
            </w:r>
            <w:r w:rsidR="00E03BD2">
              <w:rPr>
                <w:rFonts w:ascii="Arial" w:hAnsi="Arial" w:cs="Arial"/>
                <w:sz w:val="24"/>
                <w:szCs w:val="24"/>
              </w:rPr>
              <w:t>0.</w:t>
            </w:r>
            <w:r w:rsidR="00AB498E">
              <w:rPr>
                <w:rFonts w:ascii="Arial" w:hAnsi="Arial" w:cs="Arial"/>
                <w:sz w:val="24"/>
                <w:szCs w:val="24"/>
              </w:rPr>
              <w:t>01</w:t>
            </w:r>
          </w:p>
          <w:p w14:paraId="107497D3" w14:textId="6D4D2034" w:rsidR="00E461C2" w:rsidRPr="00D43B41" w:rsidRDefault="00E461C2"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 xml:space="preserve">Long-term absences carried into </w:t>
            </w:r>
            <w:r w:rsidRPr="009E6C0C">
              <w:rPr>
                <w:rFonts w:ascii="Arial" w:hAnsi="Arial" w:cs="Arial"/>
                <w:sz w:val="24"/>
                <w:szCs w:val="24"/>
              </w:rPr>
              <w:t>Q</w:t>
            </w:r>
            <w:r w:rsidR="00AB498E">
              <w:rPr>
                <w:rFonts w:ascii="Arial" w:hAnsi="Arial" w:cs="Arial"/>
                <w:sz w:val="24"/>
                <w:szCs w:val="24"/>
              </w:rPr>
              <w:t>2</w:t>
            </w:r>
            <w:r w:rsidR="0046660F">
              <w:rPr>
                <w:rFonts w:ascii="Arial" w:hAnsi="Arial" w:cs="Arial"/>
                <w:sz w:val="24"/>
                <w:szCs w:val="24"/>
              </w:rPr>
              <w:t xml:space="preserve"> = </w:t>
            </w:r>
            <w:r w:rsidR="00E03BD2">
              <w:rPr>
                <w:rFonts w:ascii="Arial" w:hAnsi="Arial" w:cs="Arial"/>
                <w:sz w:val="24"/>
                <w:szCs w:val="24"/>
              </w:rPr>
              <w:t xml:space="preserve">14 </w:t>
            </w:r>
            <w:r w:rsidR="234A5758" w:rsidRPr="6B2213A0">
              <w:rPr>
                <w:rFonts w:ascii="Arial" w:hAnsi="Arial" w:cs="Arial"/>
                <w:sz w:val="24"/>
                <w:szCs w:val="24"/>
              </w:rPr>
              <w:t>i</w:t>
            </w:r>
            <w:r w:rsidR="0038233B" w:rsidRPr="6B2213A0">
              <w:rPr>
                <w:rFonts w:ascii="Arial" w:hAnsi="Arial" w:cs="Arial"/>
                <w:sz w:val="24"/>
                <w:szCs w:val="24"/>
              </w:rPr>
              <w:t>ndividuals</w:t>
            </w:r>
          </w:p>
          <w:p w14:paraId="1E966AE9" w14:textId="24C1D4CC" w:rsidR="00E55373" w:rsidRPr="00DF3ED7" w:rsidRDefault="00AA2E40" w:rsidP="00566883">
            <w:pPr>
              <w:pStyle w:val="ListParagraph"/>
              <w:numPr>
                <w:ilvl w:val="0"/>
                <w:numId w:val="4"/>
              </w:numPr>
              <w:spacing w:line="240" w:lineRule="auto"/>
              <w:ind w:left="714" w:right="37" w:hanging="357"/>
              <w:jc w:val="both"/>
              <w:rPr>
                <w:rFonts w:ascii="Arial" w:hAnsi="Arial" w:cs="Arial"/>
                <w:sz w:val="24"/>
                <w:szCs w:val="24"/>
              </w:rPr>
            </w:pPr>
            <w:r>
              <w:rPr>
                <w:rFonts w:ascii="Arial" w:hAnsi="Arial" w:cs="Arial"/>
                <w:sz w:val="24"/>
                <w:szCs w:val="24"/>
              </w:rPr>
              <w:t>Average days sick</w:t>
            </w:r>
            <w:r w:rsidR="008C34CF">
              <w:rPr>
                <w:rFonts w:ascii="Arial" w:hAnsi="Arial" w:cs="Arial"/>
                <w:sz w:val="24"/>
                <w:szCs w:val="24"/>
              </w:rPr>
              <w:t xml:space="preserve"> per FTE employee = </w:t>
            </w:r>
            <w:r w:rsidR="00731C0D">
              <w:rPr>
                <w:rFonts w:ascii="Arial" w:hAnsi="Arial" w:cs="Arial"/>
                <w:sz w:val="24"/>
                <w:szCs w:val="24"/>
              </w:rPr>
              <w:t>-0.</w:t>
            </w:r>
            <w:r w:rsidR="004434E8">
              <w:rPr>
                <w:rFonts w:ascii="Arial" w:hAnsi="Arial" w:cs="Arial"/>
                <w:sz w:val="24"/>
                <w:szCs w:val="24"/>
              </w:rPr>
              <w:t>09</w:t>
            </w:r>
            <w:r w:rsidR="00E01C2E">
              <w:rPr>
                <w:rFonts w:ascii="Arial" w:hAnsi="Arial" w:cs="Arial"/>
                <w:sz w:val="24"/>
                <w:szCs w:val="24"/>
              </w:rPr>
              <w:t xml:space="preserve"> </w:t>
            </w:r>
            <w:r w:rsidR="0038233B">
              <w:rPr>
                <w:rFonts w:ascii="Arial" w:hAnsi="Arial" w:cs="Arial"/>
                <w:sz w:val="24"/>
                <w:szCs w:val="24"/>
              </w:rPr>
              <w:t>days</w:t>
            </w:r>
          </w:p>
        </w:tc>
      </w:tr>
      <w:tr w:rsidR="00CE6306" w:rsidRPr="00A90AA3" w14:paraId="3CE744B9" w14:textId="77777777" w:rsidTr="008B7A70">
        <w:trPr>
          <w:gridAfter w:val="1"/>
          <w:wAfter w:w="123" w:type="dxa"/>
        </w:trPr>
        <w:tc>
          <w:tcPr>
            <w:tcW w:w="1127" w:type="dxa"/>
          </w:tcPr>
          <w:p w14:paraId="136C60F6" w14:textId="7044AE15" w:rsidR="007361EA" w:rsidRDefault="007361EA" w:rsidP="000E18CA">
            <w:pPr>
              <w:pStyle w:val="NoSpacing"/>
              <w:ind w:left="720" w:hanging="683"/>
            </w:pPr>
            <w:r>
              <w:t>3.3.2</w:t>
            </w:r>
          </w:p>
        </w:tc>
        <w:tc>
          <w:tcPr>
            <w:tcW w:w="8815" w:type="dxa"/>
          </w:tcPr>
          <w:p w14:paraId="6843DA17" w14:textId="06742044" w:rsidR="007F1D8A" w:rsidRDefault="088A9648" w:rsidP="00566883">
            <w:pPr>
              <w:ind w:right="37"/>
              <w:jc w:val="both"/>
              <w:rPr>
                <w:rFonts w:ascii="Arial" w:hAnsi="Arial" w:cs="Arial"/>
              </w:rPr>
            </w:pPr>
            <w:r w:rsidRPr="057B8305">
              <w:rPr>
                <w:rFonts w:ascii="Arial" w:hAnsi="Arial" w:cs="Arial"/>
              </w:rPr>
              <w:t>There</w:t>
            </w:r>
            <w:r w:rsidR="3CD2701B" w:rsidRPr="057B8305">
              <w:rPr>
                <w:rFonts w:ascii="Arial" w:hAnsi="Arial" w:cs="Arial"/>
              </w:rPr>
              <w:t xml:space="preserve"> has been </w:t>
            </w:r>
            <w:r w:rsidR="7D5CFC74" w:rsidRPr="057B8305">
              <w:rPr>
                <w:rFonts w:ascii="Arial" w:hAnsi="Arial" w:cs="Arial"/>
              </w:rPr>
              <w:t xml:space="preserve">a slight </w:t>
            </w:r>
            <w:r w:rsidR="003D691E">
              <w:rPr>
                <w:rFonts w:ascii="Arial" w:hAnsi="Arial" w:cs="Arial"/>
              </w:rPr>
              <w:t>decrease</w:t>
            </w:r>
            <w:r w:rsidR="7DEA0BA8" w:rsidRPr="057B8305">
              <w:rPr>
                <w:rFonts w:ascii="Arial" w:hAnsi="Arial" w:cs="Arial"/>
              </w:rPr>
              <w:t xml:space="preserve"> </w:t>
            </w:r>
            <w:r w:rsidR="18A7C577" w:rsidRPr="057B8305">
              <w:rPr>
                <w:rFonts w:ascii="Arial" w:hAnsi="Arial" w:cs="Arial"/>
              </w:rPr>
              <w:t xml:space="preserve">in </w:t>
            </w:r>
            <w:r w:rsidR="003D691E">
              <w:rPr>
                <w:rFonts w:ascii="Arial" w:hAnsi="Arial" w:cs="Arial"/>
              </w:rPr>
              <w:t xml:space="preserve">both </w:t>
            </w:r>
            <w:r w:rsidR="40E1F4F7" w:rsidRPr="057B8305">
              <w:rPr>
                <w:rFonts w:ascii="Arial" w:hAnsi="Arial" w:cs="Arial"/>
              </w:rPr>
              <w:t>short</w:t>
            </w:r>
            <w:r w:rsidR="002C6AC7">
              <w:rPr>
                <w:rFonts w:ascii="Arial" w:hAnsi="Arial" w:cs="Arial"/>
              </w:rPr>
              <w:t>-</w:t>
            </w:r>
            <w:r w:rsidR="27A4D5DA" w:rsidRPr="057B8305">
              <w:rPr>
                <w:rFonts w:ascii="Arial" w:hAnsi="Arial" w:cs="Arial"/>
              </w:rPr>
              <w:t xml:space="preserve">term </w:t>
            </w:r>
            <w:r w:rsidR="003D691E">
              <w:rPr>
                <w:rFonts w:ascii="Arial" w:hAnsi="Arial" w:cs="Arial"/>
              </w:rPr>
              <w:t xml:space="preserve">and long-term </w:t>
            </w:r>
            <w:r w:rsidR="27A4D5DA" w:rsidRPr="057B8305">
              <w:rPr>
                <w:rFonts w:ascii="Arial" w:hAnsi="Arial" w:cs="Arial"/>
              </w:rPr>
              <w:t>absences</w:t>
            </w:r>
            <w:r w:rsidR="3CD2701B" w:rsidRPr="057B8305">
              <w:rPr>
                <w:rFonts w:ascii="Arial" w:hAnsi="Arial" w:cs="Arial"/>
              </w:rPr>
              <w:t xml:space="preserve"> during Q</w:t>
            </w:r>
            <w:r w:rsidR="00BC4267">
              <w:rPr>
                <w:rFonts w:ascii="Arial" w:hAnsi="Arial" w:cs="Arial"/>
              </w:rPr>
              <w:t>2</w:t>
            </w:r>
            <w:r w:rsidRPr="057B8305">
              <w:rPr>
                <w:rFonts w:ascii="Arial" w:hAnsi="Arial" w:cs="Arial"/>
              </w:rPr>
              <w:t>.</w:t>
            </w:r>
          </w:p>
          <w:p w14:paraId="3FD080BA" w14:textId="3424E873" w:rsidR="00946663" w:rsidRPr="000F140A" w:rsidRDefault="00946663" w:rsidP="00566883">
            <w:pPr>
              <w:ind w:right="37"/>
              <w:jc w:val="both"/>
              <w:rPr>
                <w:rFonts w:ascii="Arial" w:hAnsi="Arial" w:cs="Arial"/>
                <w:szCs w:val="24"/>
              </w:rPr>
            </w:pPr>
          </w:p>
        </w:tc>
      </w:tr>
      <w:tr w:rsidR="00CE6306" w:rsidRPr="00A90AA3" w14:paraId="42FD4238" w14:textId="77777777" w:rsidTr="008B7A70">
        <w:trPr>
          <w:gridAfter w:val="1"/>
          <w:wAfter w:w="123" w:type="dxa"/>
          <w:trHeight w:val="142"/>
        </w:trPr>
        <w:tc>
          <w:tcPr>
            <w:tcW w:w="1127" w:type="dxa"/>
          </w:tcPr>
          <w:p w14:paraId="79A265EC" w14:textId="77777777" w:rsidR="00BF29A1" w:rsidRDefault="00BF29A1" w:rsidP="000E18CA">
            <w:pPr>
              <w:pStyle w:val="NoSpacing"/>
              <w:ind w:left="720" w:hanging="683"/>
            </w:pPr>
            <w:r>
              <w:t>3.3.3</w:t>
            </w:r>
          </w:p>
          <w:p w14:paraId="681D0155" w14:textId="77777777" w:rsidR="00AF2E2C" w:rsidRDefault="00AF2E2C" w:rsidP="000E18CA">
            <w:pPr>
              <w:pStyle w:val="NoSpacing"/>
              <w:ind w:left="720" w:hanging="683"/>
            </w:pPr>
          </w:p>
          <w:p w14:paraId="41E8F111" w14:textId="5A703042" w:rsidR="00AF2E2C" w:rsidRDefault="00AF2E2C" w:rsidP="00071269">
            <w:pPr>
              <w:pStyle w:val="NoSpacing"/>
            </w:pPr>
          </w:p>
        </w:tc>
        <w:tc>
          <w:tcPr>
            <w:tcW w:w="8815" w:type="dxa"/>
          </w:tcPr>
          <w:p w14:paraId="0B9A48D9" w14:textId="7B6E2A25" w:rsidR="008D35FA" w:rsidRDefault="00A1346E" w:rsidP="4E3E9867">
            <w:pPr>
              <w:ind w:right="37"/>
              <w:jc w:val="both"/>
              <w:rPr>
                <w:rFonts w:ascii="Arial" w:eastAsia="Calibri" w:hAnsi="Arial" w:cs="Arial"/>
              </w:rPr>
            </w:pPr>
            <w:r w:rsidRPr="4E3E9867">
              <w:rPr>
                <w:rFonts w:ascii="Arial" w:eastAsia="Calibri" w:hAnsi="Arial" w:cs="Arial"/>
              </w:rPr>
              <w:t xml:space="preserve">Overall absence rates have </w:t>
            </w:r>
            <w:r w:rsidR="00932902" w:rsidRPr="4E3E9867">
              <w:rPr>
                <w:rFonts w:ascii="Arial" w:eastAsia="Calibri" w:hAnsi="Arial" w:cs="Arial"/>
              </w:rPr>
              <w:t>consistently reduced over the past 12 months, with</w:t>
            </w:r>
            <w:r w:rsidR="00D539F7" w:rsidRPr="4E3E9867">
              <w:rPr>
                <w:rFonts w:ascii="Arial" w:eastAsia="Calibri" w:hAnsi="Arial" w:cs="Arial"/>
              </w:rPr>
              <w:t xml:space="preserve"> recorded figures now back to </w:t>
            </w:r>
            <w:r w:rsidR="38509C78" w:rsidRPr="4E3E9867">
              <w:rPr>
                <w:rFonts w:ascii="Arial" w:eastAsia="Calibri" w:hAnsi="Arial" w:cs="Arial"/>
              </w:rPr>
              <w:t>similar</w:t>
            </w:r>
            <w:r w:rsidR="00D539F7" w:rsidRPr="4E3E9867">
              <w:rPr>
                <w:rFonts w:ascii="Arial" w:eastAsia="Calibri" w:hAnsi="Arial" w:cs="Arial"/>
              </w:rPr>
              <w:t xml:space="preserve"> </w:t>
            </w:r>
            <w:r w:rsidR="002047CB" w:rsidRPr="4E3E9867">
              <w:rPr>
                <w:rFonts w:ascii="Arial" w:eastAsia="Calibri" w:hAnsi="Arial" w:cs="Arial"/>
              </w:rPr>
              <w:t xml:space="preserve">levels of those recorded </w:t>
            </w:r>
            <w:r w:rsidR="00F076AF" w:rsidRPr="4E3E9867">
              <w:rPr>
                <w:rFonts w:ascii="Arial" w:eastAsia="Calibri" w:hAnsi="Arial" w:cs="Arial"/>
              </w:rPr>
              <w:t>for the same period in</w:t>
            </w:r>
            <w:r w:rsidR="002047CB" w:rsidRPr="4E3E9867">
              <w:rPr>
                <w:rFonts w:ascii="Arial" w:eastAsia="Calibri" w:hAnsi="Arial" w:cs="Arial"/>
              </w:rPr>
              <w:t xml:space="preserve"> 2019, prior to the pandemic.</w:t>
            </w:r>
          </w:p>
          <w:p w14:paraId="2074FC3C" w14:textId="4F4455BE" w:rsidR="00B73A5C" w:rsidRPr="007950FB" w:rsidRDefault="00B73A5C" w:rsidP="00566883">
            <w:pPr>
              <w:ind w:right="37"/>
              <w:jc w:val="both"/>
              <w:rPr>
                <w:rFonts w:ascii="Arial" w:eastAsia="Calibri" w:hAnsi="Arial" w:cs="Arial"/>
                <w:szCs w:val="24"/>
              </w:rPr>
            </w:pPr>
          </w:p>
        </w:tc>
      </w:tr>
      <w:tr w:rsidR="00860725" w:rsidRPr="00B73684" w14:paraId="50CBF757" w14:textId="77777777" w:rsidTr="008B7A70">
        <w:trPr>
          <w:gridAfter w:val="1"/>
          <w:wAfter w:w="123" w:type="dxa"/>
        </w:trPr>
        <w:tc>
          <w:tcPr>
            <w:tcW w:w="1127" w:type="dxa"/>
          </w:tcPr>
          <w:p w14:paraId="67C69CA0" w14:textId="0EE2069A" w:rsidR="00BE215B" w:rsidRPr="00A90AA3" w:rsidRDefault="00BE215B">
            <w:pPr>
              <w:pStyle w:val="NoSpacing"/>
              <w:ind w:left="792" w:hanging="755"/>
            </w:pPr>
            <w:r>
              <w:t>3.</w:t>
            </w:r>
            <w:r w:rsidR="000A455C">
              <w:t>4</w:t>
            </w:r>
          </w:p>
        </w:tc>
        <w:tc>
          <w:tcPr>
            <w:tcW w:w="8815" w:type="dxa"/>
          </w:tcPr>
          <w:p w14:paraId="4973A341" w14:textId="77777777" w:rsidR="00BE215B" w:rsidRDefault="00BE215B" w:rsidP="00566883">
            <w:pPr>
              <w:ind w:right="37"/>
              <w:jc w:val="both"/>
              <w:rPr>
                <w:rFonts w:ascii="Arial" w:hAnsi="Arial" w:cs="Arial"/>
                <w:szCs w:val="24"/>
              </w:rPr>
            </w:pPr>
            <w:r>
              <w:rPr>
                <w:rFonts w:ascii="Arial" w:hAnsi="Arial" w:cs="Arial"/>
                <w:szCs w:val="24"/>
                <w:u w:val="single"/>
              </w:rPr>
              <w:t>Implementation of HR policies or processes</w:t>
            </w:r>
          </w:p>
          <w:p w14:paraId="744ADB7D" w14:textId="77777777" w:rsidR="00BE215B" w:rsidRPr="00B73684" w:rsidRDefault="00BE215B" w:rsidP="00566883">
            <w:pPr>
              <w:ind w:right="37"/>
              <w:jc w:val="both"/>
              <w:rPr>
                <w:rFonts w:ascii="Arial" w:hAnsi="Arial" w:cs="Arial"/>
                <w:szCs w:val="24"/>
              </w:rPr>
            </w:pPr>
          </w:p>
        </w:tc>
      </w:tr>
      <w:tr w:rsidR="00860725" w:rsidRPr="00A27CC6" w14:paraId="39BFF2E4" w14:textId="77777777" w:rsidTr="008B7A70">
        <w:trPr>
          <w:gridAfter w:val="1"/>
          <w:wAfter w:w="123" w:type="dxa"/>
        </w:trPr>
        <w:tc>
          <w:tcPr>
            <w:tcW w:w="1127" w:type="dxa"/>
          </w:tcPr>
          <w:p w14:paraId="1F6442EE" w14:textId="7316F930" w:rsidR="00BE215B" w:rsidRPr="00A90AA3" w:rsidRDefault="00BE215B">
            <w:pPr>
              <w:pStyle w:val="NoSpacing"/>
              <w:ind w:left="720" w:hanging="683"/>
            </w:pPr>
            <w:r>
              <w:t>3.</w:t>
            </w:r>
            <w:r w:rsidR="000A455C">
              <w:t>4</w:t>
            </w:r>
            <w:r>
              <w:t>.1</w:t>
            </w:r>
          </w:p>
        </w:tc>
        <w:tc>
          <w:tcPr>
            <w:tcW w:w="8815" w:type="dxa"/>
          </w:tcPr>
          <w:p w14:paraId="64686738" w14:textId="77777777" w:rsidR="00BE215B" w:rsidRPr="002F7E38" w:rsidRDefault="00BE215B" w:rsidP="4E3E9867">
            <w:pPr>
              <w:ind w:right="37"/>
              <w:jc w:val="both"/>
              <w:rPr>
                <w:rFonts w:ascii="Arial" w:hAnsi="Arial" w:cs="Arial"/>
              </w:rPr>
            </w:pPr>
            <w:r w:rsidRPr="4E3E9867">
              <w:rPr>
                <w:rFonts w:ascii="Arial" w:hAnsi="Arial" w:cs="Arial"/>
              </w:rPr>
              <w:t xml:space="preserve">The following list details the application of HR policies or processes at the time of </w:t>
            </w:r>
            <w:bookmarkStart w:id="4" w:name="_Int_2mudPsVH"/>
            <w:r w:rsidRPr="4E3E9867">
              <w:rPr>
                <w:rFonts w:ascii="Arial" w:hAnsi="Arial" w:cs="Arial"/>
              </w:rPr>
              <w:t>writing</w:t>
            </w:r>
            <w:bookmarkEnd w:id="4"/>
            <w:r w:rsidRPr="4E3E9867">
              <w:rPr>
                <w:rFonts w:ascii="Arial" w:hAnsi="Arial" w:cs="Arial"/>
              </w:rPr>
              <w:t xml:space="preserve"> this report:</w:t>
            </w:r>
          </w:p>
          <w:p w14:paraId="144CC97B" w14:textId="77777777" w:rsidR="00BE215B" w:rsidRPr="002F7E38" w:rsidRDefault="00BE215B" w:rsidP="00566883">
            <w:pPr>
              <w:ind w:right="37"/>
              <w:jc w:val="both"/>
              <w:rPr>
                <w:rFonts w:ascii="Arial" w:hAnsi="Arial" w:cs="Arial"/>
                <w:szCs w:val="24"/>
              </w:rPr>
            </w:pPr>
          </w:p>
          <w:p w14:paraId="60DA2A01" w14:textId="1F2AF36C" w:rsidR="00BE215B" w:rsidRPr="002F7E38"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Disciplinary procedure = </w:t>
            </w:r>
            <w:r w:rsidR="00D017D9">
              <w:rPr>
                <w:rFonts w:ascii="Arial" w:hAnsi="Arial" w:cs="Arial"/>
                <w:sz w:val="24"/>
                <w:szCs w:val="24"/>
              </w:rPr>
              <w:t>2</w:t>
            </w:r>
          </w:p>
          <w:p w14:paraId="2C8A5CA7" w14:textId="77777777" w:rsidR="00BE215B" w:rsidRPr="002F7E38"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Internal resolution process (formerly Grievance) = </w:t>
            </w:r>
            <w:r>
              <w:rPr>
                <w:rFonts w:ascii="Arial" w:hAnsi="Arial" w:cs="Arial"/>
                <w:sz w:val="24"/>
                <w:szCs w:val="24"/>
              </w:rPr>
              <w:t>1</w:t>
            </w:r>
          </w:p>
          <w:p w14:paraId="531148E9" w14:textId="39DED674" w:rsidR="00BE215B" w:rsidRPr="002F7E38"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Dignity at Work = </w:t>
            </w:r>
            <w:r w:rsidR="00D017D9">
              <w:rPr>
                <w:rFonts w:ascii="Arial" w:hAnsi="Arial" w:cs="Arial"/>
                <w:sz w:val="24"/>
                <w:szCs w:val="24"/>
              </w:rPr>
              <w:t>1</w:t>
            </w:r>
          </w:p>
          <w:p w14:paraId="5926EF1B" w14:textId="77777777" w:rsidR="00BE215B" w:rsidRDefault="00BE215B" w:rsidP="00566883">
            <w:pPr>
              <w:pStyle w:val="ListParagraph"/>
              <w:numPr>
                <w:ilvl w:val="0"/>
                <w:numId w:val="11"/>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Whistleblowing = </w:t>
            </w:r>
            <w:r>
              <w:rPr>
                <w:rFonts w:ascii="Arial" w:hAnsi="Arial" w:cs="Arial"/>
                <w:sz w:val="24"/>
                <w:szCs w:val="24"/>
              </w:rPr>
              <w:t>0</w:t>
            </w:r>
          </w:p>
          <w:p w14:paraId="7BF49D6E" w14:textId="77777777" w:rsidR="00BE215B" w:rsidRDefault="00BE215B" w:rsidP="00566883">
            <w:pPr>
              <w:pStyle w:val="ListParagraph"/>
              <w:numPr>
                <w:ilvl w:val="0"/>
                <w:numId w:val="11"/>
              </w:numPr>
              <w:spacing w:line="240" w:lineRule="auto"/>
              <w:ind w:left="459" w:right="37" w:hanging="459"/>
              <w:jc w:val="both"/>
              <w:rPr>
                <w:rFonts w:ascii="Arial" w:hAnsi="Arial" w:cs="Arial"/>
                <w:sz w:val="24"/>
                <w:szCs w:val="24"/>
              </w:rPr>
            </w:pPr>
            <w:r>
              <w:rPr>
                <w:rFonts w:ascii="Arial" w:hAnsi="Arial" w:cs="Arial"/>
                <w:sz w:val="24"/>
                <w:szCs w:val="24"/>
              </w:rPr>
              <w:t xml:space="preserve">Official complaints against staff (external) = </w:t>
            </w:r>
            <w:r w:rsidRPr="00603992">
              <w:rPr>
                <w:rFonts w:ascii="Arial" w:hAnsi="Arial" w:cs="Arial"/>
                <w:sz w:val="24"/>
                <w:szCs w:val="24"/>
              </w:rPr>
              <w:t>1</w:t>
            </w:r>
            <w:r w:rsidRPr="7178C43F">
              <w:rPr>
                <w:rFonts w:ascii="Arial" w:hAnsi="Arial" w:cs="Arial"/>
                <w:sz w:val="24"/>
                <w:szCs w:val="24"/>
              </w:rPr>
              <w:t xml:space="preserve"> </w:t>
            </w:r>
          </w:p>
          <w:p w14:paraId="5BEFD870" w14:textId="77777777" w:rsidR="000A455C" w:rsidRDefault="000A455C" w:rsidP="00566883">
            <w:pPr>
              <w:pStyle w:val="ListParagraph"/>
              <w:spacing w:line="240" w:lineRule="auto"/>
              <w:ind w:left="459" w:right="37"/>
              <w:jc w:val="both"/>
              <w:rPr>
                <w:rFonts w:ascii="Arial" w:hAnsi="Arial" w:cs="Arial"/>
                <w:sz w:val="24"/>
                <w:szCs w:val="24"/>
              </w:rPr>
            </w:pPr>
          </w:p>
          <w:p w14:paraId="45AFBE31" w14:textId="6BBE3B44" w:rsidR="000A455C" w:rsidRPr="00A27CC6" w:rsidRDefault="000A455C" w:rsidP="00566883">
            <w:pPr>
              <w:pStyle w:val="ListParagraph"/>
              <w:spacing w:line="240" w:lineRule="auto"/>
              <w:ind w:left="459" w:right="37"/>
              <w:jc w:val="both"/>
              <w:rPr>
                <w:rFonts w:ascii="Arial" w:hAnsi="Arial" w:cs="Arial"/>
                <w:sz w:val="24"/>
                <w:szCs w:val="24"/>
              </w:rPr>
            </w:pPr>
          </w:p>
        </w:tc>
      </w:tr>
      <w:tr w:rsidR="00F73BA1" w:rsidRPr="0071340A" w14:paraId="258F068D" w14:textId="77777777" w:rsidTr="008B7A70">
        <w:trPr>
          <w:gridAfter w:val="1"/>
          <w:wAfter w:w="123" w:type="dxa"/>
        </w:trPr>
        <w:tc>
          <w:tcPr>
            <w:tcW w:w="1127" w:type="dxa"/>
          </w:tcPr>
          <w:p w14:paraId="424A5901" w14:textId="1F42AC62" w:rsidR="00BE215B" w:rsidRPr="00A90AA3" w:rsidRDefault="00BE215B">
            <w:pPr>
              <w:pStyle w:val="NoSpacing"/>
              <w:ind w:left="792" w:hanging="755"/>
            </w:pPr>
            <w:r>
              <w:lastRenderedPageBreak/>
              <w:t>3.</w:t>
            </w:r>
            <w:r w:rsidR="000A455C">
              <w:t>5</w:t>
            </w:r>
          </w:p>
        </w:tc>
        <w:tc>
          <w:tcPr>
            <w:tcW w:w="8815" w:type="dxa"/>
          </w:tcPr>
          <w:p w14:paraId="3945441F" w14:textId="77777777" w:rsidR="00BE215B" w:rsidRDefault="00BE215B" w:rsidP="00566883">
            <w:pPr>
              <w:ind w:right="37"/>
              <w:jc w:val="both"/>
              <w:rPr>
                <w:rFonts w:ascii="Arial" w:hAnsi="Arial" w:cs="Arial"/>
                <w:szCs w:val="24"/>
              </w:rPr>
            </w:pPr>
            <w:r>
              <w:rPr>
                <w:rFonts w:ascii="Arial" w:hAnsi="Arial" w:cs="Arial"/>
                <w:szCs w:val="24"/>
                <w:u w:val="single"/>
              </w:rPr>
              <w:t>Industrial relations</w:t>
            </w:r>
          </w:p>
          <w:p w14:paraId="31531B0D" w14:textId="77777777" w:rsidR="00BE215B" w:rsidRPr="0071340A" w:rsidRDefault="00BE215B" w:rsidP="00566883">
            <w:pPr>
              <w:ind w:right="37"/>
              <w:jc w:val="both"/>
              <w:rPr>
                <w:rFonts w:ascii="Arial" w:hAnsi="Arial" w:cs="Arial"/>
                <w:szCs w:val="24"/>
              </w:rPr>
            </w:pPr>
          </w:p>
        </w:tc>
      </w:tr>
      <w:tr w:rsidR="00685C59" w:rsidRPr="0042659A" w14:paraId="25C2EDC5" w14:textId="77777777" w:rsidTr="008B7A70">
        <w:trPr>
          <w:gridAfter w:val="1"/>
          <w:wAfter w:w="123" w:type="dxa"/>
        </w:trPr>
        <w:tc>
          <w:tcPr>
            <w:tcW w:w="1127" w:type="dxa"/>
          </w:tcPr>
          <w:p w14:paraId="25F51255" w14:textId="77777777" w:rsidR="00685C59" w:rsidRDefault="00685C59" w:rsidP="00685C59">
            <w:pPr>
              <w:pStyle w:val="NoSpacing"/>
              <w:ind w:left="720" w:hanging="683"/>
            </w:pPr>
            <w:r>
              <w:t>3.5.1</w:t>
            </w:r>
          </w:p>
          <w:p w14:paraId="4B87C592" w14:textId="77777777" w:rsidR="00685C59" w:rsidRDefault="00685C59">
            <w:pPr>
              <w:pStyle w:val="NoSpacing"/>
              <w:ind w:left="720" w:hanging="683"/>
            </w:pPr>
          </w:p>
        </w:tc>
        <w:tc>
          <w:tcPr>
            <w:tcW w:w="8815" w:type="dxa"/>
          </w:tcPr>
          <w:p w14:paraId="27349059" w14:textId="77777777" w:rsidR="00685C59" w:rsidRPr="0042659A" w:rsidRDefault="00685C59" w:rsidP="00685C59">
            <w:pPr>
              <w:ind w:right="37"/>
              <w:jc w:val="both"/>
              <w:rPr>
                <w:rFonts w:ascii="Arial" w:hAnsi="Arial" w:cs="Arial"/>
                <w:szCs w:val="24"/>
              </w:rPr>
            </w:pPr>
            <w:r w:rsidRPr="0042659A">
              <w:rPr>
                <w:rFonts w:ascii="Arial" w:hAnsi="Arial" w:cs="Arial"/>
                <w:szCs w:val="24"/>
              </w:rPr>
              <w:t xml:space="preserve">The </w:t>
            </w:r>
            <w:r>
              <w:rPr>
                <w:rFonts w:ascii="Arial" w:hAnsi="Arial" w:cs="Arial"/>
                <w:szCs w:val="24"/>
              </w:rPr>
              <w:t>c</w:t>
            </w:r>
            <w:r w:rsidRPr="0042659A">
              <w:rPr>
                <w:rFonts w:ascii="Arial" w:hAnsi="Arial" w:cs="Arial"/>
                <w:szCs w:val="24"/>
              </w:rPr>
              <w:t xml:space="preserve">harity recognises and engages with the following </w:t>
            </w:r>
            <w:r>
              <w:rPr>
                <w:rFonts w:ascii="Arial" w:hAnsi="Arial" w:cs="Arial"/>
                <w:szCs w:val="24"/>
              </w:rPr>
              <w:t>u</w:t>
            </w:r>
            <w:r w:rsidRPr="0042659A">
              <w:rPr>
                <w:rFonts w:ascii="Arial" w:hAnsi="Arial" w:cs="Arial"/>
                <w:szCs w:val="24"/>
              </w:rPr>
              <w:t>nions:</w:t>
            </w:r>
          </w:p>
          <w:p w14:paraId="26927E26" w14:textId="77777777" w:rsidR="00685C59" w:rsidRPr="0042659A" w:rsidRDefault="00685C59" w:rsidP="00685C59">
            <w:pPr>
              <w:ind w:right="37"/>
              <w:jc w:val="both"/>
              <w:rPr>
                <w:rFonts w:ascii="Arial" w:hAnsi="Arial" w:cs="Arial"/>
                <w:szCs w:val="24"/>
              </w:rPr>
            </w:pPr>
          </w:p>
          <w:p w14:paraId="5CFE4D26" w14:textId="77777777" w:rsidR="00685C59" w:rsidRPr="0042659A" w:rsidRDefault="00685C59" w:rsidP="00685C59">
            <w:pPr>
              <w:pStyle w:val="ListParagraph"/>
              <w:numPr>
                <w:ilvl w:val="0"/>
                <w:numId w:val="7"/>
              </w:numPr>
              <w:spacing w:line="240" w:lineRule="auto"/>
              <w:ind w:left="714" w:right="37" w:hanging="357"/>
              <w:jc w:val="both"/>
              <w:rPr>
                <w:rFonts w:ascii="Arial" w:hAnsi="Arial" w:cs="Arial"/>
                <w:sz w:val="24"/>
                <w:szCs w:val="24"/>
              </w:rPr>
            </w:pPr>
            <w:r w:rsidRPr="0042659A">
              <w:rPr>
                <w:rFonts w:ascii="Arial" w:hAnsi="Arial" w:cs="Arial"/>
                <w:sz w:val="24"/>
                <w:szCs w:val="24"/>
              </w:rPr>
              <w:t>EIS (Music instructors)</w:t>
            </w:r>
          </w:p>
          <w:p w14:paraId="22E28060" w14:textId="77777777" w:rsidR="00685C59" w:rsidRPr="0042659A" w:rsidRDefault="00685C59" w:rsidP="00685C59">
            <w:pPr>
              <w:pStyle w:val="ListParagraph"/>
              <w:numPr>
                <w:ilvl w:val="0"/>
                <w:numId w:val="7"/>
              </w:numPr>
              <w:spacing w:line="240" w:lineRule="auto"/>
              <w:ind w:left="714" w:right="37" w:hanging="357"/>
              <w:jc w:val="both"/>
              <w:rPr>
                <w:rFonts w:ascii="Arial" w:hAnsi="Arial" w:cs="Arial"/>
                <w:sz w:val="24"/>
                <w:szCs w:val="24"/>
              </w:rPr>
            </w:pPr>
            <w:r w:rsidRPr="0042659A">
              <w:rPr>
                <w:rFonts w:ascii="Arial" w:hAnsi="Arial" w:cs="Arial"/>
                <w:sz w:val="24"/>
                <w:szCs w:val="24"/>
              </w:rPr>
              <w:t>GMB</w:t>
            </w:r>
          </w:p>
          <w:p w14:paraId="6663A6FC" w14:textId="77777777" w:rsidR="00685C59" w:rsidRPr="0042659A" w:rsidRDefault="00685C59" w:rsidP="00685C59">
            <w:pPr>
              <w:pStyle w:val="ListParagraph"/>
              <w:numPr>
                <w:ilvl w:val="0"/>
                <w:numId w:val="7"/>
              </w:numPr>
              <w:spacing w:line="240" w:lineRule="auto"/>
              <w:ind w:left="714" w:right="37" w:hanging="357"/>
              <w:jc w:val="both"/>
              <w:rPr>
                <w:rFonts w:ascii="Arial" w:hAnsi="Arial" w:cs="Arial"/>
                <w:sz w:val="24"/>
                <w:szCs w:val="24"/>
              </w:rPr>
            </w:pPr>
            <w:r w:rsidRPr="0042659A">
              <w:rPr>
                <w:rFonts w:ascii="Arial" w:hAnsi="Arial" w:cs="Arial"/>
                <w:sz w:val="24"/>
                <w:szCs w:val="24"/>
              </w:rPr>
              <w:t>UNISON</w:t>
            </w:r>
          </w:p>
          <w:p w14:paraId="32B35B50" w14:textId="1A10FAE4" w:rsidR="00685C59" w:rsidRPr="008F1EBF" w:rsidRDefault="00685C59" w:rsidP="00566883">
            <w:pPr>
              <w:pStyle w:val="ListParagraph"/>
              <w:numPr>
                <w:ilvl w:val="0"/>
                <w:numId w:val="7"/>
              </w:numPr>
              <w:spacing w:line="240" w:lineRule="auto"/>
              <w:ind w:left="714" w:right="37" w:hanging="357"/>
              <w:jc w:val="both"/>
              <w:rPr>
                <w:rFonts w:ascii="Arial" w:hAnsi="Arial" w:cs="Arial"/>
                <w:sz w:val="24"/>
                <w:szCs w:val="24"/>
              </w:rPr>
            </w:pPr>
            <w:r w:rsidRPr="0042659A">
              <w:rPr>
                <w:rFonts w:ascii="Arial" w:hAnsi="Arial" w:cs="Arial"/>
                <w:sz w:val="24"/>
                <w:szCs w:val="24"/>
              </w:rPr>
              <w:t>Unite the Union</w:t>
            </w:r>
          </w:p>
        </w:tc>
      </w:tr>
      <w:tr w:rsidR="00F73BA1" w:rsidRPr="0042659A" w14:paraId="51599430" w14:textId="77777777" w:rsidTr="008B7A70">
        <w:trPr>
          <w:gridAfter w:val="1"/>
          <w:wAfter w:w="123" w:type="dxa"/>
        </w:trPr>
        <w:tc>
          <w:tcPr>
            <w:tcW w:w="1127" w:type="dxa"/>
          </w:tcPr>
          <w:p w14:paraId="58FD1762" w14:textId="66664A91" w:rsidR="00BE215B" w:rsidRPr="00A90AA3" w:rsidRDefault="3CD52CBC" w:rsidP="00685C59">
            <w:pPr>
              <w:pStyle w:val="NoSpacing"/>
            </w:pPr>
            <w:r>
              <w:t>3.5.2</w:t>
            </w:r>
          </w:p>
        </w:tc>
        <w:tc>
          <w:tcPr>
            <w:tcW w:w="8815" w:type="dxa"/>
          </w:tcPr>
          <w:p w14:paraId="024CE332" w14:textId="072E9F34" w:rsidR="00BE215B" w:rsidRPr="0042659A" w:rsidRDefault="00BE215B" w:rsidP="00566883">
            <w:pPr>
              <w:ind w:right="37"/>
              <w:jc w:val="both"/>
              <w:rPr>
                <w:rFonts w:ascii="Arial" w:hAnsi="Arial" w:cs="Arial"/>
                <w:szCs w:val="24"/>
              </w:rPr>
            </w:pPr>
            <w:r w:rsidRPr="0042659A">
              <w:rPr>
                <w:rFonts w:ascii="Arial" w:hAnsi="Arial" w:cs="Arial"/>
                <w:szCs w:val="24"/>
              </w:rPr>
              <w:t>Ongoing communication and consultation with the above unions is undertaken through the Joint Consultation Forum (JCF)</w:t>
            </w:r>
            <w:r w:rsidR="00B7482C">
              <w:rPr>
                <w:rFonts w:ascii="Arial" w:hAnsi="Arial" w:cs="Arial"/>
                <w:szCs w:val="24"/>
              </w:rPr>
              <w:t xml:space="preserve"> </w:t>
            </w:r>
            <w:r w:rsidRPr="0042659A">
              <w:rPr>
                <w:rFonts w:ascii="Arial" w:hAnsi="Arial" w:cs="Arial"/>
                <w:szCs w:val="24"/>
              </w:rPr>
              <w:t>and which meets quarterly.</w:t>
            </w:r>
          </w:p>
          <w:p w14:paraId="5AB4B9B9" w14:textId="77777777" w:rsidR="00BE215B" w:rsidRPr="0042659A" w:rsidRDefault="00BE215B" w:rsidP="00566883">
            <w:pPr>
              <w:ind w:right="37"/>
              <w:jc w:val="both"/>
              <w:rPr>
                <w:rFonts w:ascii="Arial" w:hAnsi="Arial" w:cs="Arial"/>
                <w:szCs w:val="24"/>
              </w:rPr>
            </w:pPr>
          </w:p>
        </w:tc>
      </w:tr>
      <w:tr w:rsidR="00860725" w:rsidRPr="00555805" w14:paraId="78C29ECD" w14:textId="77777777" w:rsidTr="008B7A70">
        <w:trPr>
          <w:gridAfter w:val="1"/>
          <w:wAfter w:w="123" w:type="dxa"/>
          <w:trHeight w:val="1750"/>
        </w:trPr>
        <w:tc>
          <w:tcPr>
            <w:tcW w:w="1127" w:type="dxa"/>
          </w:tcPr>
          <w:p w14:paraId="0F63EDEE" w14:textId="6646B36E" w:rsidR="000A455C" w:rsidRDefault="000A455C">
            <w:pPr>
              <w:pStyle w:val="NoSpacing"/>
              <w:ind w:left="720" w:hanging="683"/>
            </w:pPr>
            <w:r>
              <w:t>3.5.</w:t>
            </w:r>
            <w:r w:rsidR="008838E7">
              <w:t>3</w:t>
            </w:r>
          </w:p>
          <w:p w14:paraId="07AB731E" w14:textId="77777777" w:rsidR="000A455C" w:rsidRDefault="000A455C">
            <w:pPr>
              <w:pStyle w:val="NoSpacing"/>
              <w:ind w:left="720" w:hanging="683"/>
            </w:pPr>
          </w:p>
          <w:p w14:paraId="576C0D74" w14:textId="77777777" w:rsidR="000A455C" w:rsidRDefault="000A455C">
            <w:pPr>
              <w:pStyle w:val="NoSpacing"/>
              <w:ind w:left="720" w:hanging="683"/>
            </w:pPr>
          </w:p>
          <w:p w14:paraId="674D06E3" w14:textId="77777777" w:rsidR="000A455C" w:rsidRDefault="000A455C">
            <w:pPr>
              <w:pStyle w:val="NoSpacing"/>
              <w:ind w:left="720" w:hanging="683"/>
            </w:pPr>
          </w:p>
          <w:p w14:paraId="110E13F3" w14:textId="77777777" w:rsidR="000A455C" w:rsidRPr="00A90AA3" w:rsidRDefault="000A455C">
            <w:pPr>
              <w:pStyle w:val="NoSpacing"/>
            </w:pPr>
          </w:p>
        </w:tc>
        <w:tc>
          <w:tcPr>
            <w:tcW w:w="8815" w:type="dxa"/>
          </w:tcPr>
          <w:p w14:paraId="642010D1" w14:textId="609BDF4B" w:rsidR="000A455C" w:rsidRPr="00A67816" w:rsidRDefault="000A455C" w:rsidP="00566883">
            <w:pPr>
              <w:ind w:right="37"/>
              <w:jc w:val="both"/>
              <w:rPr>
                <w:rFonts w:ascii="Arial" w:hAnsi="Arial" w:cs="Arial"/>
                <w:szCs w:val="24"/>
              </w:rPr>
            </w:pPr>
            <w:r w:rsidRPr="00A67816">
              <w:rPr>
                <w:rFonts w:ascii="Arial" w:hAnsi="Arial" w:cs="Arial"/>
                <w:szCs w:val="24"/>
              </w:rPr>
              <w:t xml:space="preserve">The JCF met on </w:t>
            </w:r>
            <w:r w:rsidR="00AA162F">
              <w:rPr>
                <w:rFonts w:ascii="Arial" w:hAnsi="Arial" w:cs="Arial"/>
                <w:szCs w:val="24"/>
              </w:rPr>
              <w:t>6 September</w:t>
            </w:r>
            <w:r>
              <w:rPr>
                <w:rFonts w:ascii="Arial" w:hAnsi="Arial" w:cs="Arial"/>
                <w:szCs w:val="24"/>
              </w:rPr>
              <w:t xml:space="preserve"> 2023</w:t>
            </w:r>
            <w:r w:rsidRPr="00A67816">
              <w:rPr>
                <w:rFonts w:ascii="Arial" w:hAnsi="Arial" w:cs="Arial"/>
                <w:szCs w:val="24"/>
              </w:rPr>
              <w:t>. The following items were discussed:</w:t>
            </w:r>
          </w:p>
          <w:p w14:paraId="3D31FCF7" w14:textId="77777777" w:rsidR="000A455C" w:rsidRPr="00A67816" w:rsidRDefault="000A455C" w:rsidP="00566883">
            <w:pPr>
              <w:ind w:right="37"/>
              <w:jc w:val="both"/>
              <w:rPr>
                <w:rFonts w:ascii="Arial" w:hAnsi="Arial" w:cs="Arial"/>
                <w:szCs w:val="24"/>
              </w:rPr>
            </w:pPr>
          </w:p>
          <w:p w14:paraId="41C25DCE" w14:textId="44337D7A" w:rsidR="000A455C" w:rsidRDefault="00072198" w:rsidP="00566883">
            <w:pPr>
              <w:pStyle w:val="ListParagraph"/>
              <w:numPr>
                <w:ilvl w:val="0"/>
                <w:numId w:val="5"/>
              </w:numPr>
              <w:spacing w:line="240" w:lineRule="auto"/>
              <w:ind w:left="714" w:right="37" w:hanging="357"/>
              <w:jc w:val="both"/>
              <w:rPr>
                <w:rFonts w:ascii="Arial" w:hAnsi="Arial" w:cs="Arial"/>
                <w:sz w:val="24"/>
                <w:szCs w:val="24"/>
              </w:rPr>
            </w:pPr>
            <w:r>
              <w:rPr>
                <w:rFonts w:ascii="Arial" w:hAnsi="Arial" w:cs="Arial"/>
                <w:sz w:val="24"/>
                <w:szCs w:val="24"/>
              </w:rPr>
              <w:t>Service Director portfolio changes</w:t>
            </w:r>
          </w:p>
          <w:p w14:paraId="58958C04" w14:textId="2EB9E1CE" w:rsidR="000A455C" w:rsidRDefault="00D003EB" w:rsidP="00566883">
            <w:pPr>
              <w:pStyle w:val="ListParagraph"/>
              <w:numPr>
                <w:ilvl w:val="0"/>
                <w:numId w:val="5"/>
              </w:numPr>
              <w:spacing w:line="240" w:lineRule="auto"/>
              <w:ind w:left="714" w:right="37" w:hanging="357"/>
              <w:jc w:val="both"/>
              <w:rPr>
                <w:rFonts w:ascii="Arial" w:hAnsi="Arial" w:cs="Arial"/>
                <w:sz w:val="24"/>
                <w:szCs w:val="24"/>
              </w:rPr>
            </w:pPr>
            <w:r>
              <w:rPr>
                <w:rFonts w:ascii="Arial" w:hAnsi="Arial" w:cs="Arial"/>
                <w:sz w:val="24"/>
                <w:szCs w:val="24"/>
              </w:rPr>
              <w:t>Essential and non</w:t>
            </w:r>
            <w:r w:rsidR="006F1412">
              <w:rPr>
                <w:rFonts w:ascii="Arial" w:hAnsi="Arial" w:cs="Arial"/>
                <w:sz w:val="24"/>
                <w:szCs w:val="24"/>
              </w:rPr>
              <w:t>-</w:t>
            </w:r>
            <w:r>
              <w:rPr>
                <w:rFonts w:ascii="Arial" w:hAnsi="Arial" w:cs="Arial"/>
                <w:sz w:val="24"/>
                <w:szCs w:val="24"/>
              </w:rPr>
              <w:t>essential training payments</w:t>
            </w:r>
          </w:p>
          <w:p w14:paraId="0C220E68" w14:textId="77777777" w:rsidR="00C3492E" w:rsidRDefault="00C3492E" w:rsidP="00566883">
            <w:pPr>
              <w:pStyle w:val="ListParagraph"/>
              <w:numPr>
                <w:ilvl w:val="0"/>
                <w:numId w:val="5"/>
              </w:numPr>
              <w:spacing w:line="240" w:lineRule="auto"/>
              <w:ind w:left="714" w:right="37" w:hanging="357"/>
              <w:jc w:val="both"/>
              <w:rPr>
                <w:rFonts w:ascii="Arial" w:hAnsi="Arial" w:cs="Arial"/>
                <w:sz w:val="24"/>
                <w:szCs w:val="24"/>
              </w:rPr>
            </w:pPr>
            <w:r>
              <w:rPr>
                <w:rFonts w:ascii="Arial" w:hAnsi="Arial" w:cs="Arial"/>
                <w:sz w:val="24"/>
                <w:szCs w:val="24"/>
              </w:rPr>
              <w:t>Castle project update</w:t>
            </w:r>
          </w:p>
          <w:p w14:paraId="2705F3FC" w14:textId="77777777" w:rsidR="006116BF" w:rsidRDefault="00C3492E" w:rsidP="00566883">
            <w:pPr>
              <w:pStyle w:val="ListParagraph"/>
              <w:numPr>
                <w:ilvl w:val="0"/>
                <w:numId w:val="5"/>
              </w:numPr>
              <w:spacing w:line="240" w:lineRule="auto"/>
              <w:ind w:left="714" w:right="37" w:hanging="357"/>
              <w:jc w:val="both"/>
              <w:rPr>
                <w:rFonts w:ascii="Arial" w:hAnsi="Arial" w:cs="Arial"/>
                <w:sz w:val="24"/>
                <w:szCs w:val="24"/>
              </w:rPr>
            </w:pPr>
            <w:r>
              <w:rPr>
                <w:rFonts w:ascii="Arial" w:hAnsi="Arial" w:cs="Arial"/>
                <w:sz w:val="24"/>
                <w:szCs w:val="24"/>
              </w:rPr>
              <w:t>HLH budget Update</w:t>
            </w:r>
          </w:p>
          <w:p w14:paraId="7C2949AB" w14:textId="6AB97B98" w:rsidR="000A455C" w:rsidRPr="00A65E55" w:rsidRDefault="006116BF" w:rsidP="4E3E9867">
            <w:pPr>
              <w:pStyle w:val="ListParagraph"/>
              <w:numPr>
                <w:ilvl w:val="0"/>
                <w:numId w:val="5"/>
              </w:numPr>
              <w:spacing w:line="240" w:lineRule="auto"/>
              <w:ind w:left="714" w:right="37" w:hanging="357"/>
              <w:jc w:val="both"/>
              <w:rPr>
                <w:rFonts w:ascii="Arial" w:hAnsi="Arial" w:cs="Arial"/>
                <w:sz w:val="24"/>
                <w:szCs w:val="24"/>
              </w:rPr>
            </w:pPr>
            <w:r w:rsidRPr="4E3E9867">
              <w:rPr>
                <w:rFonts w:ascii="Arial" w:hAnsi="Arial" w:cs="Arial"/>
                <w:sz w:val="24"/>
                <w:szCs w:val="24"/>
              </w:rPr>
              <w:t>Fair Work First Statement</w:t>
            </w:r>
            <w:r w:rsidR="000A455C" w:rsidRPr="4E3E9867">
              <w:rPr>
                <w:rFonts w:ascii="Arial" w:hAnsi="Arial" w:cs="Arial"/>
                <w:sz w:val="24"/>
                <w:szCs w:val="24"/>
              </w:rPr>
              <w:t xml:space="preserve"> </w:t>
            </w:r>
          </w:p>
        </w:tc>
      </w:tr>
      <w:tr w:rsidR="00CE6306" w:rsidRPr="00A90AA3" w14:paraId="771555DF" w14:textId="77777777" w:rsidTr="008B7A70">
        <w:trPr>
          <w:gridAfter w:val="1"/>
          <w:wAfter w:w="123" w:type="dxa"/>
        </w:trPr>
        <w:tc>
          <w:tcPr>
            <w:tcW w:w="1127" w:type="dxa"/>
          </w:tcPr>
          <w:p w14:paraId="70571C42" w14:textId="24C94CD9" w:rsidR="00601F6D" w:rsidRPr="00860725" w:rsidRDefault="000A455C" w:rsidP="005748FE">
            <w:pPr>
              <w:pStyle w:val="NoSpacing"/>
              <w:rPr>
                <w:b/>
                <w:bCs/>
              </w:rPr>
            </w:pPr>
            <w:r w:rsidRPr="00860725">
              <w:rPr>
                <w:b/>
                <w:bCs/>
              </w:rPr>
              <w:t>4.</w:t>
            </w:r>
          </w:p>
          <w:p w14:paraId="59C0C61B" w14:textId="015A260D" w:rsidR="008D35FA" w:rsidRPr="00860725" w:rsidRDefault="008D35FA" w:rsidP="005748FE">
            <w:pPr>
              <w:pStyle w:val="NoSpacing"/>
              <w:rPr>
                <w:b/>
                <w:bCs/>
              </w:rPr>
            </w:pPr>
          </w:p>
        </w:tc>
        <w:tc>
          <w:tcPr>
            <w:tcW w:w="8815" w:type="dxa"/>
          </w:tcPr>
          <w:p w14:paraId="537CD572" w14:textId="449FCF13" w:rsidR="002047CB" w:rsidRPr="00D46DBE" w:rsidRDefault="001112DF" w:rsidP="00566883">
            <w:pPr>
              <w:ind w:right="37"/>
              <w:jc w:val="both"/>
              <w:rPr>
                <w:rFonts w:ascii="Arial" w:eastAsia="Calibri" w:hAnsi="Arial" w:cs="Arial"/>
                <w:b/>
                <w:bCs/>
                <w:szCs w:val="24"/>
              </w:rPr>
            </w:pPr>
            <w:r>
              <w:rPr>
                <w:rFonts w:ascii="Arial" w:eastAsia="Calibri" w:hAnsi="Arial" w:cs="Arial"/>
                <w:b/>
                <w:bCs/>
                <w:szCs w:val="24"/>
              </w:rPr>
              <w:t>SJC Pay Aw</w:t>
            </w:r>
            <w:r w:rsidR="00477AD7">
              <w:rPr>
                <w:rFonts w:ascii="Arial" w:eastAsia="Calibri" w:hAnsi="Arial" w:cs="Arial"/>
                <w:b/>
                <w:bCs/>
                <w:szCs w:val="24"/>
              </w:rPr>
              <w:t>ard 2023/24</w:t>
            </w:r>
            <w:r w:rsidR="00E65260" w:rsidRPr="00D46DBE">
              <w:rPr>
                <w:rFonts w:ascii="Arial" w:eastAsia="Calibri" w:hAnsi="Arial" w:cs="Arial"/>
                <w:b/>
                <w:bCs/>
                <w:szCs w:val="24"/>
              </w:rPr>
              <w:t xml:space="preserve"> </w:t>
            </w:r>
          </w:p>
        </w:tc>
      </w:tr>
      <w:tr w:rsidR="00CE6306" w:rsidRPr="00A90AA3" w14:paraId="2907CB18" w14:textId="77777777" w:rsidTr="008B7A70">
        <w:trPr>
          <w:gridAfter w:val="1"/>
          <w:wAfter w:w="123" w:type="dxa"/>
        </w:trPr>
        <w:tc>
          <w:tcPr>
            <w:tcW w:w="1127" w:type="dxa"/>
          </w:tcPr>
          <w:p w14:paraId="62B65B7C" w14:textId="6D8F5924" w:rsidR="005748FE" w:rsidRDefault="005748FE" w:rsidP="005748FE">
            <w:pPr>
              <w:pStyle w:val="NoSpacing"/>
            </w:pPr>
            <w:r>
              <w:t>4.1</w:t>
            </w:r>
          </w:p>
        </w:tc>
        <w:tc>
          <w:tcPr>
            <w:tcW w:w="8815" w:type="dxa"/>
          </w:tcPr>
          <w:p w14:paraId="07CABE53" w14:textId="16A69773" w:rsidR="005B6FFE" w:rsidRDefault="4E91C2FA" w:rsidP="00736CAB">
            <w:pPr>
              <w:pStyle w:val="Default"/>
              <w:jc w:val="both"/>
            </w:pPr>
            <w:r>
              <w:t xml:space="preserve">At the time of </w:t>
            </w:r>
            <w:bookmarkStart w:id="5" w:name="_Int_pL0YgSqE"/>
            <w:r>
              <w:t>writing</w:t>
            </w:r>
            <w:bookmarkEnd w:id="5"/>
            <w:r>
              <w:t xml:space="preserve"> this report</w:t>
            </w:r>
            <w:r w:rsidR="2F4465BA">
              <w:t>, t</w:t>
            </w:r>
            <w:r>
              <w:t>he 202</w:t>
            </w:r>
            <w:r w:rsidR="2F4465BA">
              <w:t>3</w:t>
            </w:r>
            <w:r>
              <w:t>/2</w:t>
            </w:r>
            <w:r w:rsidR="2F4465BA">
              <w:t>4</w:t>
            </w:r>
            <w:r>
              <w:t xml:space="preserve"> pay offer </w:t>
            </w:r>
            <w:r w:rsidR="2F4465BA">
              <w:t xml:space="preserve">for non-teaching staff had not been </w:t>
            </w:r>
            <w:r w:rsidR="37F9AAD2">
              <w:t xml:space="preserve">formally </w:t>
            </w:r>
            <w:r w:rsidR="2F4465BA">
              <w:t>approved</w:t>
            </w:r>
            <w:r w:rsidR="04906350">
              <w:t>. However</w:t>
            </w:r>
            <w:r w:rsidR="07A56893">
              <w:t>,</w:t>
            </w:r>
            <w:r w:rsidR="04906350">
              <w:t xml:space="preserve"> it </w:t>
            </w:r>
            <w:r w:rsidR="39B582EF">
              <w:t>is</w:t>
            </w:r>
            <w:r w:rsidR="04906350">
              <w:t xml:space="preserve"> anticipated that Unison members w</w:t>
            </w:r>
            <w:r w:rsidR="39B582EF">
              <w:t>ill</w:t>
            </w:r>
            <w:r w:rsidR="04906350">
              <w:t xml:space="preserve"> vote to accept the </w:t>
            </w:r>
            <w:r w:rsidR="4E4B624F">
              <w:t xml:space="preserve">revised </w:t>
            </w:r>
            <w:r w:rsidR="490F0BFD">
              <w:t>COSLA pay offer by 27 November 2023</w:t>
            </w:r>
            <w:r w:rsidR="4E4B624F">
              <w:t xml:space="preserve">. GMB and </w:t>
            </w:r>
            <w:bookmarkStart w:id="6" w:name="_Int_HI8ra3oi"/>
            <w:proofErr w:type="gramStart"/>
            <w:r w:rsidR="4E4B624F">
              <w:t>Unite</w:t>
            </w:r>
            <w:bookmarkEnd w:id="6"/>
            <w:proofErr w:type="gramEnd"/>
            <w:r w:rsidR="4E4B624F">
              <w:t xml:space="preserve"> ha</w:t>
            </w:r>
            <w:r w:rsidR="39B582EF">
              <w:t>ve</w:t>
            </w:r>
            <w:r w:rsidR="4E4B624F">
              <w:t xml:space="preserve"> </w:t>
            </w:r>
            <w:r w:rsidR="32B7F178">
              <w:t>voted to accept the previous offer. If accepted</w:t>
            </w:r>
            <w:r w:rsidR="07A56893">
              <w:t>,</w:t>
            </w:r>
            <w:r w:rsidR="32B7F178">
              <w:t xml:space="preserve"> the </w:t>
            </w:r>
            <w:r w:rsidR="21CE5002">
              <w:t xml:space="preserve">basic </w:t>
            </w:r>
            <w:r w:rsidR="32B7F178">
              <w:t xml:space="preserve">offer </w:t>
            </w:r>
            <w:r w:rsidR="07A56893">
              <w:t xml:space="preserve">is </w:t>
            </w:r>
            <w:r w:rsidR="37F9AAD2">
              <w:t xml:space="preserve">as </w:t>
            </w:r>
            <w:r w:rsidR="21CE5002">
              <w:t>follows</w:t>
            </w:r>
            <w:r w:rsidR="07A56893">
              <w:t xml:space="preserve">: </w:t>
            </w:r>
          </w:p>
          <w:p w14:paraId="4B4449A4" w14:textId="01D6DC91" w:rsidR="2ABE7D72" w:rsidRDefault="2ABE7D72" w:rsidP="2ABE7D72">
            <w:pPr>
              <w:pStyle w:val="Default"/>
              <w:jc w:val="both"/>
            </w:pPr>
          </w:p>
          <w:p w14:paraId="29972E41" w14:textId="429BA08B" w:rsidR="005B6FFE" w:rsidRDefault="005B6FFE" w:rsidP="005B6FFE">
            <w:pPr>
              <w:pStyle w:val="Default"/>
              <w:numPr>
                <w:ilvl w:val="0"/>
                <w:numId w:val="31"/>
              </w:numPr>
              <w:jc w:val="both"/>
              <w:rPr>
                <w:rFonts w:eastAsia="Calibri"/>
              </w:rPr>
            </w:pPr>
            <w:r>
              <w:rPr>
                <w:rFonts w:eastAsia="Calibri"/>
              </w:rPr>
              <w:t xml:space="preserve">Covers the period 1 April 2023 to 31 March </w:t>
            </w:r>
            <w:proofErr w:type="gramStart"/>
            <w:r>
              <w:rPr>
                <w:rFonts w:eastAsia="Calibri"/>
              </w:rPr>
              <w:t>2024</w:t>
            </w:r>
            <w:r w:rsidR="00FE70C2">
              <w:rPr>
                <w:rFonts w:eastAsia="Calibri"/>
              </w:rPr>
              <w:t>;</w:t>
            </w:r>
            <w:proofErr w:type="gramEnd"/>
          </w:p>
          <w:p w14:paraId="1F326A25" w14:textId="6E675D23" w:rsidR="0014279E" w:rsidRDefault="0014279E" w:rsidP="005B6FFE">
            <w:pPr>
              <w:pStyle w:val="Default"/>
              <w:numPr>
                <w:ilvl w:val="0"/>
                <w:numId w:val="31"/>
              </w:numPr>
              <w:jc w:val="both"/>
              <w:rPr>
                <w:rFonts w:eastAsia="Calibri"/>
              </w:rPr>
            </w:pPr>
            <w:r>
              <w:rPr>
                <w:rFonts w:eastAsia="Calibri"/>
              </w:rPr>
              <w:t>An increase to the Scottish Local Government Living Wage</w:t>
            </w:r>
            <w:r w:rsidR="00266923">
              <w:rPr>
                <w:rFonts w:eastAsia="Calibri"/>
              </w:rPr>
              <w:t xml:space="preserve"> rate to </w:t>
            </w:r>
            <w:r w:rsidR="004357D4">
              <w:rPr>
                <w:rFonts w:eastAsia="Calibri"/>
              </w:rPr>
              <w:t>£11.89 per hour</w:t>
            </w:r>
            <w:r w:rsidR="0070422B">
              <w:rPr>
                <w:rFonts w:eastAsia="Calibri"/>
              </w:rPr>
              <w:t xml:space="preserve"> from £10</w:t>
            </w:r>
            <w:r w:rsidR="003D482D">
              <w:rPr>
                <w:rFonts w:eastAsia="Calibri"/>
              </w:rPr>
              <w:t>.</w:t>
            </w:r>
            <w:r w:rsidR="0070422B">
              <w:rPr>
                <w:rFonts w:eastAsia="Calibri"/>
              </w:rPr>
              <w:t>85</w:t>
            </w:r>
            <w:r w:rsidR="00C003B3">
              <w:rPr>
                <w:rFonts w:eastAsia="Calibri"/>
              </w:rPr>
              <w:t>,</w:t>
            </w:r>
            <w:r w:rsidR="001F067B">
              <w:rPr>
                <w:rFonts w:eastAsia="Calibri"/>
              </w:rPr>
              <w:t xml:space="preserve"> </w:t>
            </w:r>
            <w:r w:rsidR="0070422B">
              <w:rPr>
                <w:rFonts w:eastAsia="Calibri"/>
              </w:rPr>
              <w:t>marking a 9</w:t>
            </w:r>
            <w:r w:rsidR="001F067B">
              <w:rPr>
                <w:rFonts w:eastAsia="Calibri"/>
              </w:rPr>
              <w:t xml:space="preserve">.59% </w:t>
            </w:r>
            <w:proofErr w:type="gramStart"/>
            <w:r w:rsidR="001F067B">
              <w:rPr>
                <w:rFonts w:eastAsia="Calibri"/>
              </w:rPr>
              <w:t>increase</w:t>
            </w:r>
            <w:r w:rsidR="00FE70C2">
              <w:rPr>
                <w:rFonts w:eastAsia="Calibri"/>
              </w:rPr>
              <w:t>;</w:t>
            </w:r>
            <w:proofErr w:type="gramEnd"/>
          </w:p>
          <w:p w14:paraId="417BBFA6" w14:textId="77777777" w:rsidR="004357D4" w:rsidRDefault="004357D4" w:rsidP="005B6FFE">
            <w:pPr>
              <w:pStyle w:val="Default"/>
              <w:numPr>
                <w:ilvl w:val="0"/>
                <w:numId w:val="31"/>
              </w:numPr>
              <w:jc w:val="both"/>
              <w:rPr>
                <w:rFonts w:eastAsia="Calibri"/>
              </w:rPr>
            </w:pPr>
            <w:r>
              <w:rPr>
                <w:rFonts w:eastAsia="Calibri"/>
              </w:rPr>
              <w:t>For those on</w:t>
            </w:r>
            <w:r w:rsidR="00F85E04">
              <w:rPr>
                <w:rFonts w:eastAsia="Calibri"/>
              </w:rPr>
              <w:t xml:space="preserve"> the Scottish Local Government Living Wage</w:t>
            </w:r>
            <w:r w:rsidR="006773EA">
              <w:rPr>
                <w:rFonts w:eastAsia="Calibri"/>
              </w:rPr>
              <w:t xml:space="preserve"> and earning £</w:t>
            </w:r>
            <w:r w:rsidR="00981A56">
              <w:rPr>
                <w:rFonts w:eastAsia="Calibri"/>
              </w:rPr>
              <w:t>20,933</w:t>
            </w:r>
            <w:r w:rsidR="00562522">
              <w:rPr>
                <w:rFonts w:eastAsia="Calibri"/>
              </w:rPr>
              <w:t>, a £2</w:t>
            </w:r>
            <w:r w:rsidR="00903099">
              <w:rPr>
                <w:rFonts w:eastAsia="Calibri"/>
              </w:rPr>
              <w:t>,</w:t>
            </w:r>
            <w:r w:rsidR="00562522">
              <w:rPr>
                <w:rFonts w:eastAsia="Calibri"/>
              </w:rPr>
              <w:t>006</w:t>
            </w:r>
            <w:r w:rsidR="00903099">
              <w:rPr>
                <w:rFonts w:eastAsia="Calibri"/>
              </w:rPr>
              <w:t xml:space="preserve"> uplift to £22,939 (calculated on a nominal 37</w:t>
            </w:r>
            <w:r w:rsidR="00E86B1D">
              <w:rPr>
                <w:rFonts w:eastAsia="Calibri"/>
              </w:rPr>
              <w:t>-hour full-time working week)</w:t>
            </w:r>
          </w:p>
          <w:p w14:paraId="3FA81A7B" w14:textId="77777777" w:rsidR="00DF5454" w:rsidRDefault="003D5FD0" w:rsidP="005B6FFE">
            <w:pPr>
              <w:pStyle w:val="Default"/>
              <w:numPr>
                <w:ilvl w:val="0"/>
                <w:numId w:val="31"/>
              </w:numPr>
              <w:jc w:val="both"/>
              <w:rPr>
                <w:rFonts w:eastAsia="Calibri"/>
              </w:rPr>
            </w:pPr>
            <w:r>
              <w:rPr>
                <w:rFonts w:eastAsia="Calibri"/>
              </w:rPr>
              <w:t>A minimum</w:t>
            </w:r>
            <w:r w:rsidR="00E0722B">
              <w:rPr>
                <w:rFonts w:eastAsia="Calibri"/>
              </w:rPr>
              <w:t xml:space="preserve"> increase of £1,929 per annum for all those above the Scottish Local Government</w:t>
            </w:r>
            <w:r w:rsidR="00E04D42">
              <w:rPr>
                <w:rFonts w:eastAsia="Calibri"/>
              </w:rPr>
              <w:t xml:space="preserve"> Living Wage</w:t>
            </w:r>
            <w:r w:rsidR="008C3949">
              <w:rPr>
                <w:rFonts w:eastAsia="Calibri"/>
              </w:rPr>
              <w:t xml:space="preserve"> (on a sliding scale from 9.59% to 5.5% for those on the highest pay scales)</w:t>
            </w:r>
            <w:r w:rsidR="00426082">
              <w:rPr>
                <w:rFonts w:eastAsia="Calibri"/>
              </w:rPr>
              <w:t>.</w:t>
            </w:r>
          </w:p>
          <w:p w14:paraId="08E08981" w14:textId="32C70FDA" w:rsidR="00426082" w:rsidRPr="005748FE" w:rsidRDefault="00426082" w:rsidP="00426082">
            <w:pPr>
              <w:pStyle w:val="Default"/>
              <w:ind w:left="720"/>
              <w:jc w:val="both"/>
              <w:rPr>
                <w:rFonts w:eastAsia="Calibri"/>
              </w:rPr>
            </w:pPr>
          </w:p>
        </w:tc>
      </w:tr>
      <w:tr w:rsidR="00CE6306" w:rsidRPr="00A90AA3" w14:paraId="77B474C4" w14:textId="77777777" w:rsidTr="008B7A70">
        <w:trPr>
          <w:gridAfter w:val="1"/>
          <w:wAfter w:w="123" w:type="dxa"/>
        </w:trPr>
        <w:tc>
          <w:tcPr>
            <w:tcW w:w="1127" w:type="dxa"/>
          </w:tcPr>
          <w:p w14:paraId="0DEA0BA1" w14:textId="563D0066" w:rsidR="009A1DD3" w:rsidRDefault="009A1DD3" w:rsidP="005748FE">
            <w:pPr>
              <w:pStyle w:val="NoSpacing"/>
            </w:pPr>
            <w:r>
              <w:t>4.2</w:t>
            </w:r>
          </w:p>
          <w:p w14:paraId="1C934031" w14:textId="0BC6A4A0" w:rsidR="009A1DD3" w:rsidRDefault="009A1DD3" w:rsidP="005748FE">
            <w:pPr>
              <w:pStyle w:val="NoSpacing"/>
            </w:pPr>
          </w:p>
          <w:p w14:paraId="3435398A" w14:textId="24E955B8" w:rsidR="009A1DD3" w:rsidRDefault="009A1DD3" w:rsidP="005748FE">
            <w:pPr>
              <w:pStyle w:val="NoSpacing"/>
            </w:pPr>
          </w:p>
          <w:p w14:paraId="38183926" w14:textId="02217A6D" w:rsidR="009A1DD3" w:rsidRDefault="009A1DD3" w:rsidP="005748FE">
            <w:pPr>
              <w:pStyle w:val="NoSpacing"/>
            </w:pPr>
          </w:p>
          <w:p w14:paraId="6734BED2" w14:textId="1565449F" w:rsidR="009A1DD3" w:rsidRDefault="009A1DD3" w:rsidP="005748FE">
            <w:pPr>
              <w:pStyle w:val="NoSpacing"/>
            </w:pPr>
          </w:p>
          <w:p w14:paraId="517A6E35" w14:textId="3D285A5F" w:rsidR="009A1DD3" w:rsidRDefault="009A1DD3" w:rsidP="005748FE">
            <w:pPr>
              <w:pStyle w:val="NoSpacing"/>
            </w:pPr>
          </w:p>
        </w:tc>
        <w:tc>
          <w:tcPr>
            <w:tcW w:w="8815" w:type="dxa"/>
          </w:tcPr>
          <w:p w14:paraId="4E8047ED" w14:textId="7199D648" w:rsidR="0063796A" w:rsidRPr="00251216" w:rsidRDefault="0075087B" w:rsidP="4E3E9867">
            <w:pPr>
              <w:ind w:right="37"/>
              <w:jc w:val="both"/>
              <w:rPr>
                <w:rFonts w:ascii="Arial" w:eastAsia="Calibri" w:hAnsi="Arial" w:cs="Arial"/>
              </w:rPr>
            </w:pPr>
            <w:r w:rsidRPr="4E3E9867">
              <w:rPr>
                <w:rFonts w:ascii="Arial" w:eastAsia="Calibri" w:hAnsi="Arial" w:cs="Arial"/>
              </w:rPr>
              <w:t>It is anticipated that, if accepted by Unison members</w:t>
            </w:r>
            <w:r w:rsidR="0063250C" w:rsidRPr="4E3E9867">
              <w:rPr>
                <w:rFonts w:ascii="Arial" w:eastAsia="Calibri" w:hAnsi="Arial" w:cs="Arial"/>
              </w:rPr>
              <w:t>,</w:t>
            </w:r>
            <w:r w:rsidRPr="4E3E9867">
              <w:rPr>
                <w:rFonts w:ascii="Arial" w:eastAsia="Calibri" w:hAnsi="Arial" w:cs="Arial"/>
              </w:rPr>
              <w:t xml:space="preserve"> </w:t>
            </w:r>
            <w:r w:rsidR="00782B9E" w:rsidRPr="4E3E9867">
              <w:rPr>
                <w:rFonts w:ascii="Arial" w:eastAsia="Calibri" w:hAnsi="Arial" w:cs="Arial"/>
              </w:rPr>
              <w:t xml:space="preserve">all staff will receive </w:t>
            </w:r>
            <w:r w:rsidR="1569DB38" w:rsidRPr="4E3E9867">
              <w:rPr>
                <w:rFonts w:ascii="Arial" w:eastAsia="Calibri" w:hAnsi="Arial" w:cs="Arial"/>
              </w:rPr>
              <w:t>most of</w:t>
            </w:r>
            <w:r w:rsidR="00F91F6F" w:rsidRPr="4E3E9867">
              <w:rPr>
                <w:rFonts w:ascii="Arial" w:eastAsia="Calibri" w:hAnsi="Arial" w:cs="Arial"/>
              </w:rPr>
              <w:t xml:space="preserve"> </w:t>
            </w:r>
            <w:r w:rsidRPr="4E3E9867">
              <w:rPr>
                <w:rFonts w:ascii="Arial" w:eastAsia="Calibri" w:hAnsi="Arial" w:cs="Arial"/>
              </w:rPr>
              <w:t>the backdated pay award in December</w:t>
            </w:r>
            <w:r w:rsidR="006D0EA3" w:rsidRPr="4E3E9867">
              <w:rPr>
                <w:rFonts w:ascii="Arial" w:eastAsia="Calibri" w:hAnsi="Arial" w:cs="Arial"/>
              </w:rPr>
              <w:t xml:space="preserve"> </w:t>
            </w:r>
            <w:r w:rsidR="00F0508E" w:rsidRPr="4E3E9867">
              <w:rPr>
                <w:rFonts w:ascii="Arial" w:eastAsia="Calibri" w:hAnsi="Arial" w:cs="Arial"/>
              </w:rPr>
              <w:t xml:space="preserve">payroll with </w:t>
            </w:r>
            <w:r w:rsidR="00F91F6F" w:rsidRPr="4E3E9867">
              <w:rPr>
                <w:rFonts w:ascii="Arial" w:eastAsia="Calibri" w:hAnsi="Arial" w:cs="Arial"/>
              </w:rPr>
              <w:t xml:space="preserve">a </w:t>
            </w:r>
            <w:r w:rsidR="00912920" w:rsidRPr="4E3E9867">
              <w:rPr>
                <w:rFonts w:ascii="Arial" w:eastAsia="Calibri" w:hAnsi="Arial" w:cs="Arial"/>
              </w:rPr>
              <w:t>top up</w:t>
            </w:r>
            <w:r w:rsidR="003D787D" w:rsidRPr="4E3E9867">
              <w:rPr>
                <w:rFonts w:ascii="Arial" w:eastAsia="Calibri" w:hAnsi="Arial" w:cs="Arial"/>
              </w:rPr>
              <w:t xml:space="preserve"> </w:t>
            </w:r>
            <w:r w:rsidR="00F91F6F" w:rsidRPr="4E3E9867">
              <w:rPr>
                <w:rFonts w:ascii="Arial" w:eastAsia="Calibri" w:hAnsi="Arial" w:cs="Arial"/>
              </w:rPr>
              <w:t xml:space="preserve">due to </w:t>
            </w:r>
            <w:r w:rsidR="0063796A" w:rsidRPr="4E3E9867">
              <w:rPr>
                <w:rFonts w:ascii="Arial" w:eastAsia="Calibri" w:hAnsi="Arial" w:cs="Arial"/>
              </w:rPr>
              <w:t xml:space="preserve">a </w:t>
            </w:r>
            <w:r w:rsidR="0014501A" w:rsidRPr="4E3E9867">
              <w:rPr>
                <w:rFonts w:ascii="Arial" w:eastAsia="Calibri" w:hAnsi="Arial" w:cs="Arial"/>
              </w:rPr>
              <w:t>small</w:t>
            </w:r>
            <w:r w:rsidR="0063796A" w:rsidRPr="4E3E9867">
              <w:rPr>
                <w:rFonts w:ascii="Arial" w:eastAsia="Calibri" w:hAnsi="Arial" w:cs="Arial"/>
              </w:rPr>
              <w:t xml:space="preserve"> number of staff</w:t>
            </w:r>
            <w:r w:rsidR="0014501A" w:rsidRPr="4E3E9867">
              <w:rPr>
                <w:rFonts w:ascii="Arial" w:eastAsia="Calibri" w:hAnsi="Arial" w:cs="Arial"/>
              </w:rPr>
              <w:t>,</w:t>
            </w:r>
            <w:r w:rsidR="0063796A" w:rsidRPr="4E3E9867">
              <w:rPr>
                <w:rFonts w:ascii="Arial" w:eastAsia="Calibri" w:hAnsi="Arial" w:cs="Arial"/>
              </w:rPr>
              <w:t xml:space="preserve"> </w:t>
            </w:r>
            <w:r w:rsidR="003D787D" w:rsidRPr="4E3E9867">
              <w:rPr>
                <w:rFonts w:ascii="Arial" w:eastAsia="Calibri" w:hAnsi="Arial" w:cs="Arial"/>
              </w:rPr>
              <w:t>paid in</w:t>
            </w:r>
            <w:r w:rsidR="006D0EA3" w:rsidRPr="4E3E9867">
              <w:rPr>
                <w:rFonts w:ascii="Arial" w:eastAsia="Calibri" w:hAnsi="Arial" w:cs="Arial"/>
              </w:rPr>
              <w:t xml:space="preserve"> January</w:t>
            </w:r>
            <w:r w:rsidR="0063796A" w:rsidRPr="4E3E9867">
              <w:rPr>
                <w:rFonts w:ascii="Arial" w:eastAsia="Calibri" w:hAnsi="Arial" w:cs="Arial"/>
              </w:rPr>
              <w:t>.</w:t>
            </w:r>
            <w:r w:rsidR="0063250C" w:rsidRPr="4E3E9867">
              <w:rPr>
                <w:rFonts w:ascii="Arial" w:eastAsia="Calibri" w:hAnsi="Arial" w:cs="Arial"/>
              </w:rPr>
              <w:t xml:space="preserve"> </w:t>
            </w:r>
            <w:r w:rsidR="00EC6A8A" w:rsidRPr="4E3E9867">
              <w:rPr>
                <w:rFonts w:ascii="Arial" w:eastAsia="Calibri" w:hAnsi="Arial" w:cs="Arial"/>
              </w:rPr>
              <w:t>The top-up relates to</w:t>
            </w:r>
            <w:r w:rsidR="00DF54DB" w:rsidRPr="4E3E9867">
              <w:rPr>
                <w:rFonts w:ascii="Arial" w:eastAsia="Calibri" w:hAnsi="Arial" w:cs="Arial"/>
                <w:color w:val="FF0000"/>
              </w:rPr>
              <w:t xml:space="preserve"> </w:t>
            </w:r>
            <w:r w:rsidR="0C248FEB" w:rsidRPr="4E3E9867">
              <w:rPr>
                <w:rFonts w:ascii="Arial" w:eastAsia="Calibri" w:hAnsi="Arial" w:cs="Arial"/>
              </w:rPr>
              <w:t xml:space="preserve">the original offer by COSLA in April 2023 whereby </w:t>
            </w:r>
            <w:r w:rsidR="208922AC" w:rsidRPr="4E3E9867">
              <w:rPr>
                <w:rFonts w:ascii="Arial" w:eastAsia="Calibri" w:hAnsi="Arial" w:cs="Arial"/>
              </w:rPr>
              <w:t>part of the pay award was to be payable from January 2024 only</w:t>
            </w:r>
            <w:r w:rsidR="521C7558" w:rsidRPr="4E3E9867">
              <w:rPr>
                <w:rFonts w:ascii="Arial" w:eastAsia="Calibri" w:hAnsi="Arial" w:cs="Arial"/>
              </w:rPr>
              <w:t xml:space="preserve">. </w:t>
            </w:r>
            <w:r w:rsidR="208922AC" w:rsidRPr="4E3E9867">
              <w:rPr>
                <w:rFonts w:ascii="Arial" w:eastAsia="Calibri" w:hAnsi="Arial" w:cs="Arial"/>
              </w:rPr>
              <w:t xml:space="preserve">However, it is anticipated that the vote will result in the </w:t>
            </w:r>
            <w:r w:rsidR="0B31951F" w:rsidRPr="4E3E9867">
              <w:rPr>
                <w:rFonts w:ascii="Arial" w:eastAsia="Calibri" w:hAnsi="Arial" w:cs="Arial"/>
              </w:rPr>
              <w:t xml:space="preserve">full pay award being backdated to 1 April 2023. </w:t>
            </w:r>
          </w:p>
          <w:p w14:paraId="60E2CBE2" w14:textId="63D5D9F1" w:rsidR="0063796A" w:rsidRPr="00251216" w:rsidRDefault="0063796A" w:rsidP="4E3E9867">
            <w:pPr>
              <w:ind w:right="37"/>
              <w:jc w:val="both"/>
              <w:rPr>
                <w:rFonts w:ascii="Arial" w:eastAsia="Calibri" w:hAnsi="Arial" w:cs="Arial"/>
              </w:rPr>
            </w:pPr>
          </w:p>
        </w:tc>
      </w:tr>
      <w:tr w:rsidR="00CE6306" w:rsidRPr="00A90AA3" w14:paraId="08A959E0" w14:textId="77777777" w:rsidTr="008B7A70">
        <w:trPr>
          <w:gridAfter w:val="1"/>
          <w:wAfter w:w="123" w:type="dxa"/>
          <w:trHeight w:val="387"/>
        </w:trPr>
        <w:tc>
          <w:tcPr>
            <w:tcW w:w="1127" w:type="dxa"/>
          </w:tcPr>
          <w:p w14:paraId="3AE6CC53" w14:textId="349E3BBE" w:rsidR="00601F6D" w:rsidRPr="001750EF" w:rsidRDefault="006B3920" w:rsidP="00601F6D">
            <w:pPr>
              <w:pStyle w:val="NoSpacing"/>
              <w:ind w:left="720" w:hanging="683"/>
              <w:rPr>
                <w:b/>
                <w:bCs/>
              </w:rPr>
            </w:pPr>
            <w:r>
              <w:rPr>
                <w:b/>
                <w:bCs/>
              </w:rPr>
              <w:t>5</w:t>
            </w:r>
            <w:r w:rsidR="00601F6D" w:rsidRPr="00D43B41">
              <w:rPr>
                <w:b/>
                <w:bCs/>
              </w:rPr>
              <w:t>.</w:t>
            </w:r>
          </w:p>
        </w:tc>
        <w:tc>
          <w:tcPr>
            <w:tcW w:w="8815" w:type="dxa"/>
          </w:tcPr>
          <w:p w14:paraId="53ED5D23" w14:textId="77777777" w:rsidR="00601F6D" w:rsidRDefault="00652350" w:rsidP="00601F6D">
            <w:pPr>
              <w:pStyle w:val="Default"/>
              <w:rPr>
                <w:b/>
                <w:bCs/>
              </w:rPr>
            </w:pPr>
            <w:r>
              <w:rPr>
                <w:b/>
                <w:bCs/>
              </w:rPr>
              <w:t>Gender Pay Gap 2023</w:t>
            </w:r>
          </w:p>
          <w:p w14:paraId="43394F70" w14:textId="639072DE" w:rsidR="00426082" w:rsidRPr="001750EF" w:rsidRDefault="00426082" w:rsidP="00601F6D">
            <w:pPr>
              <w:pStyle w:val="Default"/>
              <w:rPr>
                <w:b/>
                <w:bCs/>
              </w:rPr>
            </w:pPr>
          </w:p>
        </w:tc>
      </w:tr>
      <w:tr w:rsidR="00C04BA3" w:rsidRPr="00A90AA3" w14:paraId="4B7C5505" w14:textId="77777777" w:rsidTr="008B7A70">
        <w:trPr>
          <w:gridAfter w:val="1"/>
          <w:wAfter w:w="123" w:type="dxa"/>
          <w:trHeight w:val="387"/>
        </w:trPr>
        <w:tc>
          <w:tcPr>
            <w:tcW w:w="1127" w:type="dxa"/>
          </w:tcPr>
          <w:p w14:paraId="23ADC161" w14:textId="3566A923" w:rsidR="00C04BA3" w:rsidRPr="00095132" w:rsidRDefault="00C04BA3" w:rsidP="00C04BA3">
            <w:pPr>
              <w:pStyle w:val="NoSpacing"/>
              <w:ind w:left="720" w:hanging="683"/>
            </w:pPr>
            <w:r>
              <w:t>5</w:t>
            </w:r>
            <w:r w:rsidRPr="00095132">
              <w:t>.1</w:t>
            </w:r>
          </w:p>
        </w:tc>
        <w:tc>
          <w:tcPr>
            <w:tcW w:w="8815" w:type="dxa"/>
          </w:tcPr>
          <w:p w14:paraId="19D7E9FB" w14:textId="73C4668D" w:rsidR="00C04BA3" w:rsidRDefault="00C04BA3" w:rsidP="00C04BA3">
            <w:pPr>
              <w:jc w:val="both"/>
              <w:outlineLvl w:val="1"/>
              <w:rPr>
                <w:rFonts w:ascii="Arial" w:hAnsi="Arial" w:cs="Arial"/>
                <w:szCs w:val="24"/>
                <w:lang w:val="en"/>
              </w:rPr>
            </w:pPr>
            <w:r w:rsidRPr="00FA4126">
              <w:rPr>
                <w:rFonts w:ascii="Arial" w:hAnsi="Arial" w:cs="Arial"/>
                <w:szCs w:val="24"/>
                <w:lang w:val="en"/>
              </w:rPr>
              <w:t xml:space="preserve">Under The Equality Act 2010 (Gender Pay Gap Information) Regulations 2017 it is a legal requirement for </w:t>
            </w:r>
            <w:proofErr w:type="spellStart"/>
            <w:r w:rsidRPr="00766194">
              <w:rPr>
                <w:rFonts w:ascii="Arial" w:hAnsi="Arial" w:cs="Arial"/>
                <w:szCs w:val="24"/>
                <w:lang w:val="en"/>
              </w:rPr>
              <w:t>organisation</w:t>
            </w:r>
            <w:r w:rsidR="00B61EE1">
              <w:rPr>
                <w:rFonts w:ascii="Arial" w:hAnsi="Arial" w:cs="Arial"/>
                <w:szCs w:val="24"/>
                <w:lang w:val="en"/>
              </w:rPr>
              <w:t>s</w:t>
            </w:r>
            <w:proofErr w:type="spellEnd"/>
            <w:r w:rsidRPr="00766194">
              <w:rPr>
                <w:rFonts w:ascii="Arial" w:hAnsi="Arial" w:cs="Arial"/>
                <w:szCs w:val="24"/>
                <w:lang w:val="en"/>
              </w:rPr>
              <w:t xml:space="preserve"> </w:t>
            </w:r>
            <w:r>
              <w:rPr>
                <w:rFonts w:ascii="Arial" w:hAnsi="Arial" w:cs="Arial"/>
                <w:szCs w:val="24"/>
                <w:lang w:val="en"/>
              </w:rPr>
              <w:t>with</w:t>
            </w:r>
            <w:r w:rsidRPr="00766194">
              <w:rPr>
                <w:rFonts w:ascii="Arial" w:hAnsi="Arial" w:cs="Arial"/>
                <w:szCs w:val="24"/>
                <w:lang w:val="en"/>
              </w:rPr>
              <w:t xml:space="preserve"> 250 or more employees </w:t>
            </w:r>
            <w:r w:rsidRPr="00FA4126">
              <w:rPr>
                <w:rFonts w:ascii="Arial" w:hAnsi="Arial" w:cs="Arial"/>
                <w:szCs w:val="24"/>
                <w:lang w:val="en"/>
              </w:rPr>
              <w:t xml:space="preserve">to </w:t>
            </w:r>
            <w:r w:rsidRPr="00766194">
              <w:rPr>
                <w:rFonts w:ascii="Arial" w:hAnsi="Arial" w:cs="Arial"/>
                <w:szCs w:val="24"/>
                <w:lang w:val="en"/>
              </w:rPr>
              <w:t xml:space="preserve">publish </w:t>
            </w:r>
            <w:r w:rsidR="00657C2A">
              <w:rPr>
                <w:rFonts w:ascii="Arial" w:hAnsi="Arial" w:cs="Arial"/>
                <w:szCs w:val="24"/>
                <w:lang w:val="en"/>
              </w:rPr>
              <w:t xml:space="preserve">a </w:t>
            </w:r>
            <w:r w:rsidRPr="00766194">
              <w:rPr>
                <w:rFonts w:ascii="Arial" w:hAnsi="Arial" w:cs="Arial"/>
                <w:szCs w:val="24"/>
                <w:lang w:val="en"/>
              </w:rPr>
              <w:t>gender pay gap</w:t>
            </w:r>
            <w:r w:rsidR="00426082">
              <w:rPr>
                <w:rFonts w:ascii="Arial" w:hAnsi="Arial" w:cs="Arial"/>
                <w:szCs w:val="24"/>
                <w:lang w:val="en"/>
              </w:rPr>
              <w:t xml:space="preserve"> report</w:t>
            </w:r>
            <w:r>
              <w:rPr>
                <w:rFonts w:ascii="Arial" w:hAnsi="Arial" w:cs="Arial"/>
                <w:szCs w:val="24"/>
                <w:lang w:val="en"/>
              </w:rPr>
              <w:t xml:space="preserve"> by April each year</w:t>
            </w:r>
            <w:r w:rsidRPr="00766194">
              <w:rPr>
                <w:rFonts w:ascii="Arial" w:hAnsi="Arial" w:cs="Arial"/>
                <w:szCs w:val="24"/>
                <w:lang w:val="en"/>
              </w:rPr>
              <w:t>.</w:t>
            </w:r>
          </w:p>
          <w:p w14:paraId="5BE06B2C" w14:textId="7E2B1B6C" w:rsidR="00C04BA3" w:rsidRPr="001750EF" w:rsidRDefault="00C04BA3" w:rsidP="00C04BA3">
            <w:pPr>
              <w:pStyle w:val="Default"/>
              <w:jc w:val="both"/>
            </w:pPr>
          </w:p>
        </w:tc>
      </w:tr>
      <w:tr w:rsidR="003753F7" w:rsidRPr="00A90AA3" w14:paraId="51DFA8DE" w14:textId="77777777" w:rsidTr="008B7A70">
        <w:trPr>
          <w:gridAfter w:val="1"/>
          <w:wAfter w:w="123" w:type="dxa"/>
          <w:trHeight w:val="387"/>
        </w:trPr>
        <w:tc>
          <w:tcPr>
            <w:tcW w:w="1127" w:type="dxa"/>
          </w:tcPr>
          <w:p w14:paraId="295A3327" w14:textId="3E7377A3" w:rsidR="003753F7" w:rsidRPr="00095132" w:rsidRDefault="003753F7" w:rsidP="003753F7">
            <w:pPr>
              <w:pStyle w:val="NoSpacing"/>
              <w:ind w:left="720" w:hanging="683"/>
            </w:pPr>
            <w:r>
              <w:t>5</w:t>
            </w:r>
            <w:r w:rsidRPr="00095132">
              <w:t>.2</w:t>
            </w:r>
          </w:p>
        </w:tc>
        <w:tc>
          <w:tcPr>
            <w:tcW w:w="8815" w:type="dxa"/>
          </w:tcPr>
          <w:p w14:paraId="6C500B57" w14:textId="2ECCAAB0" w:rsidR="003753F7" w:rsidRPr="000171D0" w:rsidRDefault="003753F7" w:rsidP="003753F7">
            <w:pPr>
              <w:jc w:val="both"/>
              <w:rPr>
                <w:rFonts w:ascii="Arial" w:hAnsi="Arial" w:cs="Arial"/>
                <w:szCs w:val="24"/>
                <w:lang w:val="en"/>
              </w:rPr>
            </w:pPr>
            <w:r w:rsidRPr="00766194">
              <w:rPr>
                <w:rFonts w:ascii="Arial" w:hAnsi="Arial" w:cs="Arial"/>
                <w:szCs w:val="24"/>
                <w:lang w:val="en"/>
              </w:rPr>
              <w:t xml:space="preserve">The gender pay gap is the difference between the average earnings of men and women, expressed relative to men’s earnings. </w:t>
            </w:r>
            <w:r>
              <w:rPr>
                <w:rFonts w:ascii="Arial" w:hAnsi="Arial" w:cs="Arial"/>
                <w:szCs w:val="24"/>
                <w:lang w:val="en"/>
              </w:rPr>
              <w:t xml:space="preserve">Directors are asked to note that the gender pay gap </w:t>
            </w:r>
            <w:r>
              <w:rPr>
                <w:rFonts w:ascii="Arial" w:hAnsi="Arial" w:cs="Arial"/>
                <w:b/>
                <w:bCs/>
                <w:szCs w:val="24"/>
                <w:lang w:val="en"/>
              </w:rPr>
              <w:t>is not</w:t>
            </w:r>
            <w:r>
              <w:rPr>
                <w:rFonts w:ascii="Arial" w:hAnsi="Arial" w:cs="Arial"/>
                <w:szCs w:val="24"/>
                <w:lang w:val="en"/>
              </w:rPr>
              <w:t xml:space="preserve"> the difference in salaries paid to male and female </w:t>
            </w:r>
            <w:r w:rsidR="00B61EE1">
              <w:rPr>
                <w:rFonts w:ascii="Arial" w:hAnsi="Arial" w:cs="Arial"/>
                <w:szCs w:val="24"/>
                <w:lang w:val="en"/>
              </w:rPr>
              <w:t xml:space="preserve">staff, </w:t>
            </w:r>
            <w:r>
              <w:rPr>
                <w:rFonts w:ascii="Arial" w:hAnsi="Arial" w:cs="Arial"/>
                <w:szCs w:val="24"/>
                <w:lang w:val="en"/>
              </w:rPr>
              <w:t xml:space="preserve">all HLH staff (regardless of gender) are paid on the same salary scales. </w:t>
            </w:r>
          </w:p>
          <w:p w14:paraId="04692C93" w14:textId="5503492A" w:rsidR="003753F7" w:rsidRPr="00095132" w:rsidRDefault="003753F7" w:rsidP="003753F7">
            <w:pPr>
              <w:pStyle w:val="Default"/>
              <w:jc w:val="both"/>
            </w:pPr>
          </w:p>
        </w:tc>
      </w:tr>
      <w:tr w:rsidR="00C04BA3" w:rsidRPr="00A90AA3" w14:paraId="1257ACF4" w14:textId="77777777" w:rsidTr="008B7A70">
        <w:trPr>
          <w:gridAfter w:val="1"/>
          <w:wAfter w:w="123" w:type="dxa"/>
          <w:trHeight w:val="738"/>
        </w:trPr>
        <w:tc>
          <w:tcPr>
            <w:tcW w:w="1127" w:type="dxa"/>
          </w:tcPr>
          <w:p w14:paraId="4885E9E3" w14:textId="77777777" w:rsidR="00C04BA3" w:rsidRDefault="00C04BA3" w:rsidP="00C04BA3">
            <w:pPr>
              <w:pStyle w:val="NoSpacing"/>
              <w:ind w:left="720" w:hanging="683"/>
            </w:pPr>
            <w:r>
              <w:lastRenderedPageBreak/>
              <w:t>5.3</w:t>
            </w:r>
          </w:p>
          <w:p w14:paraId="0C069A5B" w14:textId="26C55E58" w:rsidR="00C04BA3" w:rsidRPr="00095132" w:rsidRDefault="00C04BA3" w:rsidP="00C04BA3">
            <w:pPr>
              <w:pStyle w:val="NoSpacing"/>
            </w:pPr>
          </w:p>
        </w:tc>
        <w:tc>
          <w:tcPr>
            <w:tcW w:w="8815" w:type="dxa"/>
          </w:tcPr>
          <w:p w14:paraId="5EA92D2A" w14:textId="08F8D206" w:rsidR="001C393B" w:rsidRPr="00766194" w:rsidRDefault="001C393B" w:rsidP="001C393B">
            <w:pPr>
              <w:jc w:val="both"/>
              <w:rPr>
                <w:rFonts w:ascii="Arial" w:hAnsi="Arial" w:cs="Arial"/>
                <w:szCs w:val="24"/>
                <w:lang w:val="en"/>
              </w:rPr>
            </w:pPr>
            <w:r w:rsidRPr="00766194">
              <w:rPr>
                <w:rFonts w:ascii="Arial" w:hAnsi="Arial" w:cs="Arial"/>
                <w:szCs w:val="24"/>
                <w:lang w:val="en"/>
              </w:rPr>
              <w:t xml:space="preserve">Employers must publish their </w:t>
            </w:r>
            <w:hyperlink r:id="rId11" w:history="1">
              <w:r w:rsidRPr="00FA4126">
                <w:rPr>
                  <w:rFonts w:ascii="Arial" w:hAnsi="Arial" w:cs="Arial"/>
                  <w:szCs w:val="24"/>
                  <w:lang w:val="en"/>
                </w:rPr>
                <w:t>gender pay gap data and a written statement</w:t>
              </w:r>
            </w:hyperlink>
            <w:r w:rsidRPr="00766194">
              <w:rPr>
                <w:rFonts w:ascii="Arial" w:hAnsi="Arial" w:cs="Arial"/>
                <w:szCs w:val="24"/>
                <w:lang w:val="en"/>
              </w:rPr>
              <w:t xml:space="preserve"> on their public</w:t>
            </w:r>
            <w:r w:rsidR="00C51E99">
              <w:rPr>
                <w:rFonts w:ascii="Arial" w:hAnsi="Arial" w:cs="Arial"/>
                <w:szCs w:val="24"/>
                <w:lang w:val="en"/>
              </w:rPr>
              <w:t xml:space="preserve"> </w:t>
            </w:r>
            <w:r w:rsidRPr="00766194">
              <w:rPr>
                <w:rFonts w:ascii="Arial" w:hAnsi="Arial" w:cs="Arial"/>
                <w:szCs w:val="24"/>
                <w:lang w:val="en"/>
              </w:rPr>
              <w:t>website</w:t>
            </w:r>
            <w:r>
              <w:rPr>
                <w:rFonts w:ascii="Arial" w:hAnsi="Arial" w:cs="Arial"/>
                <w:szCs w:val="24"/>
                <w:lang w:val="en"/>
              </w:rPr>
              <w:t xml:space="preserve"> and </w:t>
            </w:r>
            <w:r w:rsidRPr="00766194">
              <w:rPr>
                <w:rFonts w:ascii="Arial" w:hAnsi="Arial" w:cs="Arial"/>
                <w:szCs w:val="24"/>
                <w:lang w:val="en"/>
              </w:rPr>
              <w:t>report their data to government online</w:t>
            </w:r>
            <w:r>
              <w:rPr>
                <w:rFonts w:ascii="Arial" w:hAnsi="Arial" w:cs="Arial"/>
                <w:szCs w:val="24"/>
                <w:lang w:val="en"/>
              </w:rPr>
              <w:t>.</w:t>
            </w:r>
            <w:r w:rsidRPr="00766194">
              <w:rPr>
                <w:rFonts w:ascii="Arial" w:hAnsi="Arial" w:cs="Arial"/>
                <w:szCs w:val="24"/>
                <w:lang w:val="en"/>
              </w:rPr>
              <w:t xml:space="preserve"> </w:t>
            </w:r>
          </w:p>
          <w:p w14:paraId="745C41DD" w14:textId="16EA8FAE" w:rsidR="00C04BA3" w:rsidRPr="00095132" w:rsidRDefault="00C04BA3" w:rsidP="00C04BA3">
            <w:pPr>
              <w:pStyle w:val="Default"/>
            </w:pPr>
          </w:p>
        </w:tc>
      </w:tr>
      <w:tr w:rsidR="00BD4599" w:rsidRPr="00A90AA3" w14:paraId="6F566E44" w14:textId="77777777" w:rsidTr="008B7A70">
        <w:trPr>
          <w:gridAfter w:val="1"/>
          <w:wAfter w:w="123" w:type="dxa"/>
          <w:trHeight w:val="738"/>
        </w:trPr>
        <w:tc>
          <w:tcPr>
            <w:tcW w:w="1127" w:type="dxa"/>
          </w:tcPr>
          <w:p w14:paraId="1F992411" w14:textId="64EBB79D" w:rsidR="00BD4599" w:rsidRDefault="00BD4599" w:rsidP="00BD4599">
            <w:pPr>
              <w:pStyle w:val="NoSpacing"/>
              <w:ind w:left="720" w:hanging="683"/>
            </w:pPr>
            <w:r>
              <w:t>5.4</w:t>
            </w:r>
          </w:p>
        </w:tc>
        <w:tc>
          <w:tcPr>
            <w:tcW w:w="8815" w:type="dxa"/>
          </w:tcPr>
          <w:p w14:paraId="53B74163" w14:textId="77777777" w:rsidR="00BD4599" w:rsidRDefault="00BD4599" w:rsidP="00BD4599">
            <w:pPr>
              <w:pStyle w:val="Heading2"/>
              <w:jc w:val="both"/>
              <w:rPr>
                <w:rFonts w:ascii="Arial" w:hAnsi="Arial" w:cs="Arial"/>
                <w:szCs w:val="24"/>
                <w:u w:val="none"/>
                <w:lang w:val="en"/>
              </w:rPr>
            </w:pPr>
            <w:r>
              <w:rPr>
                <w:rFonts w:ascii="Arial" w:hAnsi="Arial" w:cs="Arial"/>
                <w:szCs w:val="24"/>
                <w:u w:val="none"/>
                <w:lang w:val="en"/>
              </w:rPr>
              <w:t>The data required is:</w:t>
            </w:r>
          </w:p>
          <w:p w14:paraId="38544B28" w14:textId="77777777" w:rsidR="00BD4599" w:rsidRPr="00E937CC" w:rsidRDefault="00BD4599" w:rsidP="00BD4599">
            <w:pPr>
              <w:rPr>
                <w:lang w:val="en"/>
              </w:rPr>
            </w:pPr>
          </w:p>
          <w:p w14:paraId="14D40F5B" w14:textId="77777777" w:rsidR="00BD4599" w:rsidRPr="00FA4126" w:rsidRDefault="00BD4599" w:rsidP="00BD4599">
            <w:pPr>
              <w:numPr>
                <w:ilvl w:val="0"/>
                <w:numId w:val="32"/>
              </w:numPr>
              <w:jc w:val="both"/>
              <w:rPr>
                <w:rFonts w:ascii="Arial" w:hAnsi="Arial" w:cs="Arial"/>
                <w:szCs w:val="24"/>
                <w:lang w:val="en"/>
              </w:rPr>
            </w:pPr>
            <w:r w:rsidRPr="00FA4126">
              <w:rPr>
                <w:rFonts w:ascii="Arial" w:hAnsi="Arial" w:cs="Arial"/>
                <w:szCs w:val="24"/>
                <w:lang w:val="en"/>
              </w:rPr>
              <w:t xml:space="preserve">mean </w:t>
            </w:r>
            <w:r>
              <w:rPr>
                <w:rFonts w:ascii="Arial" w:hAnsi="Arial" w:cs="Arial"/>
                <w:szCs w:val="24"/>
                <w:lang w:val="en"/>
              </w:rPr>
              <w:t xml:space="preserve">(average) </w:t>
            </w:r>
            <w:r w:rsidRPr="00FA4126">
              <w:rPr>
                <w:rFonts w:ascii="Arial" w:hAnsi="Arial" w:cs="Arial"/>
                <w:szCs w:val="24"/>
                <w:lang w:val="en"/>
              </w:rPr>
              <w:t xml:space="preserve">gender pay gap in hourly </w:t>
            </w:r>
            <w:proofErr w:type="gramStart"/>
            <w:r w:rsidRPr="00FA4126">
              <w:rPr>
                <w:rFonts w:ascii="Arial" w:hAnsi="Arial" w:cs="Arial"/>
                <w:szCs w:val="24"/>
                <w:lang w:val="en"/>
              </w:rPr>
              <w:t>pay</w:t>
            </w:r>
            <w:r>
              <w:rPr>
                <w:rFonts w:ascii="Arial" w:hAnsi="Arial" w:cs="Arial"/>
                <w:szCs w:val="24"/>
                <w:lang w:val="en"/>
              </w:rPr>
              <w:t>;</w:t>
            </w:r>
            <w:proofErr w:type="gramEnd"/>
          </w:p>
          <w:p w14:paraId="265DD706" w14:textId="77777777" w:rsidR="00BD4599" w:rsidRPr="00FA4126" w:rsidRDefault="00BD4599" w:rsidP="00BD4599">
            <w:pPr>
              <w:numPr>
                <w:ilvl w:val="0"/>
                <w:numId w:val="32"/>
              </w:numPr>
              <w:jc w:val="both"/>
              <w:rPr>
                <w:rFonts w:ascii="Arial" w:hAnsi="Arial" w:cs="Arial"/>
                <w:szCs w:val="24"/>
                <w:lang w:val="en"/>
              </w:rPr>
            </w:pPr>
            <w:r w:rsidRPr="00FA4126">
              <w:rPr>
                <w:rFonts w:ascii="Arial" w:hAnsi="Arial" w:cs="Arial"/>
                <w:szCs w:val="24"/>
                <w:lang w:val="en"/>
              </w:rPr>
              <w:t>median</w:t>
            </w:r>
            <w:r>
              <w:rPr>
                <w:rFonts w:ascii="Arial" w:hAnsi="Arial" w:cs="Arial"/>
                <w:szCs w:val="24"/>
                <w:lang w:val="en"/>
              </w:rPr>
              <w:t xml:space="preserve"> (midpoint)</w:t>
            </w:r>
            <w:r w:rsidRPr="00FA4126">
              <w:rPr>
                <w:rFonts w:ascii="Arial" w:hAnsi="Arial" w:cs="Arial"/>
                <w:szCs w:val="24"/>
                <w:lang w:val="en"/>
              </w:rPr>
              <w:t xml:space="preserve"> gender pay gap in hourly </w:t>
            </w:r>
            <w:proofErr w:type="gramStart"/>
            <w:r w:rsidRPr="00FA4126">
              <w:rPr>
                <w:rFonts w:ascii="Arial" w:hAnsi="Arial" w:cs="Arial"/>
                <w:szCs w:val="24"/>
                <w:lang w:val="en"/>
              </w:rPr>
              <w:t>pay</w:t>
            </w:r>
            <w:r>
              <w:rPr>
                <w:rFonts w:ascii="Arial" w:hAnsi="Arial" w:cs="Arial"/>
                <w:szCs w:val="24"/>
                <w:lang w:val="en"/>
              </w:rPr>
              <w:t>;</w:t>
            </w:r>
            <w:proofErr w:type="gramEnd"/>
          </w:p>
          <w:p w14:paraId="790EC729" w14:textId="77777777" w:rsidR="00BD4599" w:rsidRPr="00FA4126" w:rsidRDefault="00BD4599" w:rsidP="00BD4599">
            <w:pPr>
              <w:numPr>
                <w:ilvl w:val="0"/>
                <w:numId w:val="32"/>
              </w:numPr>
              <w:jc w:val="both"/>
              <w:rPr>
                <w:rFonts w:ascii="Arial" w:hAnsi="Arial" w:cs="Arial"/>
                <w:szCs w:val="24"/>
                <w:lang w:val="en"/>
              </w:rPr>
            </w:pPr>
            <w:r w:rsidRPr="00FA4126">
              <w:rPr>
                <w:rFonts w:ascii="Arial" w:hAnsi="Arial" w:cs="Arial"/>
                <w:szCs w:val="24"/>
                <w:lang w:val="en"/>
              </w:rPr>
              <w:t xml:space="preserve">mean bonus gender </w:t>
            </w:r>
            <w:proofErr w:type="gramStart"/>
            <w:r w:rsidRPr="00FA4126">
              <w:rPr>
                <w:rFonts w:ascii="Arial" w:hAnsi="Arial" w:cs="Arial"/>
                <w:szCs w:val="24"/>
                <w:lang w:val="en"/>
              </w:rPr>
              <w:t>pay</w:t>
            </w:r>
            <w:proofErr w:type="gramEnd"/>
            <w:r w:rsidRPr="00FA4126">
              <w:rPr>
                <w:rFonts w:ascii="Arial" w:hAnsi="Arial" w:cs="Arial"/>
                <w:szCs w:val="24"/>
                <w:lang w:val="en"/>
              </w:rPr>
              <w:t xml:space="preserve"> gap</w:t>
            </w:r>
            <w:r>
              <w:rPr>
                <w:rFonts w:ascii="Arial" w:hAnsi="Arial" w:cs="Arial"/>
                <w:szCs w:val="24"/>
                <w:lang w:val="en"/>
              </w:rPr>
              <w:t>;</w:t>
            </w:r>
          </w:p>
          <w:p w14:paraId="46FB62C2" w14:textId="77777777" w:rsidR="00BD4599" w:rsidRPr="00FA4126" w:rsidRDefault="00BD4599" w:rsidP="00BD4599">
            <w:pPr>
              <w:numPr>
                <w:ilvl w:val="0"/>
                <w:numId w:val="32"/>
              </w:numPr>
              <w:jc w:val="both"/>
              <w:rPr>
                <w:rFonts w:ascii="Arial" w:hAnsi="Arial" w:cs="Arial"/>
                <w:szCs w:val="24"/>
                <w:lang w:val="en"/>
              </w:rPr>
            </w:pPr>
            <w:r w:rsidRPr="00FA4126">
              <w:rPr>
                <w:rFonts w:ascii="Arial" w:hAnsi="Arial" w:cs="Arial"/>
                <w:szCs w:val="24"/>
                <w:lang w:val="en"/>
              </w:rPr>
              <w:t xml:space="preserve">median bonus gender </w:t>
            </w:r>
            <w:proofErr w:type="gramStart"/>
            <w:r w:rsidRPr="00FA4126">
              <w:rPr>
                <w:rFonts w:ascii="Arial" w:hAnsi="Arial" w:cs="Arial"/>
                <w:szCs w:val="24"/>
                <w:lang w:val="en"/>
              </w:rPr>
              <w:t>pay</w:t>
            </w:r>
            <w:proofErr w:type="gramEnd"/>
            <w:r w:rsidRPr="00FA4126">
              <w:rPr>
                <w:rFonts w:ascii="Arial" w:hAnsi="Arial" w:cs="Arial"/>
                <w:szCs w:val="24"/>
                <w:lang w:val="en"/>
              </w:rPr>
              <w:t xml:space="preserve"> gap</w:t>
            </w:r>
            <w:r>
              <w:rPr>
                <w:rFonts w:ascii="Arial" w:hAnsi="Arial" w:cs="Arial"/>
                <w:szCs w:val="24"/>
                <w:lang w:val="en"/>
              </w:rPr>
              <w:t>;</w:t>
            </w:r>
          </w:p>
          <w:p w14:paraId="350897DA" w14:textId="77777777" w:rsidR="00BD4599" w:rsidRPr="006346EB" w:rsidRDefault="00BD4599" w:rsidP="00BD4599">
            <w:pPr>
              <w:numPr>
                <w:ilvl w:val="0"/>
                <w:numId w:val="32"/>
              </w:numPr>
              <w:jc w:val="both"/>
              <w:rPr>
                <w:rFonts w:ascii="Arial" w:hAnsi="Arial" w:cs="Arial"/>
                <w:szCs w:val="24"/>
                <w:lang w:val="en"/>
              </w:rPr>
            </w:pPr>
            <w:r w:rsidRPr="00FA4126">
              <w:rPr>
                <w:rFonts w:ascii="Arial" w:hAnsi="Arial" w:cs="Arial"/>
                <w:szCs w:val="24"/>
                <w:lang w:val="en"/>
              </w:rPr>
              <w:t xml:space="preserve">proportion of </w:t>
            </w:r>
            <w:r w:rsidRPr="006346EB">
              <w:rPr>
                <w:rFonts w:ascii="Arial" w:hAnsi="Arial" w:cs="Arial"/>
                <w:szCs w:val="24"/>
                <w:lang w:val="en"/>
              </w:rPr>
              <w:t>males and females receiving a bonus payment; and</w:t>
            </w:r>
          </w:p>
          <w:p w14:paraId="25B644D6" w14:textId="77777777" w:rsidR="00BD4599" w:rsidRPr="006346EB" w:rsidRDefault="00BD4599" w:rsidP="00BD4599">
            <w:pPr>
              <w:pStyle w:val="ListParagraph"/>
              <w:numPr>
                <w:ilvl w:val="0"/>
                <w:numId w:val="32"/>
              </w:numPr>
              <w:spacing w:after="0"/>
              <w:jc w:val="both"/>
              <w:rPr>
                <w:rFonts w:ascii="Arial" w:hAnsi="Arial" w:cs="Arial"/>
                <w:szCs w:val="24"/>
              </w:rPr>
            </w:pPr>
            <w:r w:rsidRPr="006346EB">
              <w:rPr>
                <w:rFonts w:ascii="Arial" w:hAnsi="Arial" w:cs="Arial"/>
                <w:sz w:val="24"/>
                <w:szCs w:val="24"/>
                <w:lang w:val="en"/>
              </w:rPr>
              <w:t>proportion of males and females in each pay quartile</w:t>
            </w:r>
            <w:r>
              <w:rPr>
                <w:rFonts w:ascii="Arial" w:hAnsi="Arial" w:cs="Arial"/>
                <w:sz w:val="24"/>
                <w:szCs w:val="24"/>
                <w:lang w:val="en"/>
              </w:rPr>
              <w:t>.</w:t>
            </w:r>
          </w:p>
          <w:p w14:paraId="51095D8B" w14:textId="77777777" w:rsidR="00BD4599" w:rsidRPr="00766194" w:rsidRDefault="00BD4599" w:rsidP="00BD4599">
            <w:pPr>
              <w:jc w:val="both"/>
              <w:rPr>
                <w:rFonts w:ascii="Arial" w:hAnsi="Arial" w:cs="Arial"/>
                <w:szCs w:val="24"/>
                <w:lang w:val="en"/>
              </w:rPr>
            </w:pPr>
          </w:p>
        </w:tc>
      </w:tr>
      <w:tr w:rsidR="00BD4599" w:rsidRPr="00A90AA3" w14:paraId="3186AFB8" w14:textId="77777777" w:rsidTr="008B7A70">
        <w:trPr>
          <w:gridAfter w:val="1"/>
          <w:wAfter w:w="123" w:type="dxa"/>
          <w:trHeight w:val="738"/>
        </w:trPr>
        <w:tc>
          <w:tcPr>
            <w:tcW w:w="1127" w:type="dxa"/>
          </w:tcPr>
          <w:p w14:paraId="02FC1E9D" w14:textId="0FFA75E8" w:rsidR="00BD4599" w:rsidRDefault="00BD4599" w:rsidP="00BD4599">
            <w:pPr>
              <w:pStyle w:val="NoSpacing"/>
              <w:ind w:left="720" w:hanging="683"/>
            </w:pPr>
            <w:r>
              <w:t>5.5</w:t>
            </w:r>
          </w:p>
        </w:tc>
        <w:tc>
          <w:tcPr>
            <w:tcW w:w="8815" w:type="dxa"/>
          </w:tcPr>
          <w:p w14:paraId="393F3391" w14:textId="77777777" w:rsidR="00A302FB" w:rsidRDefault="00A302FB" w:rsidP="00A302FB">
            <w:pPr>
              <w:pStyle w:val="Heading2"/>
              <w:jc w:val="both"/>
              <w:rPr>
                <w:rFonts w:ascii="Arial" w:hAnsi="Arial" w:cs="Arial"/>
                <w:szCs w:val="24"/>
                <w:u w:val="none"/>
                <w:lang w:val="en"/>
              </w:rPr>
            </w:pPr>
            <w:r>
              <w:rPr>
                <w:rFonts w:ascii="Arial" w:hAnsi="Arial" w:cs="Arial"/>
                <w:szCs w:val="24"/>
                <w:u w:val="none"/>
                <w:lang w:val="en"/>
              </w:rPr>
              <w:t xml:space="preserve">HLH’s detailed results are provided in the draft Gender Pay Gap Report at </w:t>
            </w:r>
            <w:r w:rsidRPr="006346EB">
              <w:rPr>
                <w:rFonts w:ascii="Arial" w:hAnsi="Arial" w:cs="Arial"/>
                <w:b/>
                <w:bCs/>
                <w:szCs w:val="24"/>
                <w:u w:val="none"/>
                <w:lang w:val="en"/>
              </w:rPr>
              <w:t xml:space="preserve">Appendix </w:t>
            </w:r>
            <w:r>
              <w:rPr>
                <w:rFonts w:ascii="Arial" w:hAnsi="Arial" w:cs="Arial"/>
                <w:b/>
                <w:bCs/>
                <w:szCs w:val="24"/>
                <w:u w:val="none"/>
                <w:lang w:val="en"/>
              </w:rPr>
              <w:t>C</w:t>
            </w:r>
            <w:r w:rsidRPr="006346EB">
              <w:rPr>
                <w:rFonts w:ascii="Arial" w:hAnsi="Arial" w:cs="Arial"/>
                <w:b/>
                <w:bCs/>
                <w:szCs w:val="24"/>
                <w:u w:val="none"/>
                <w:lang w:val="en"/>
              </w:rPr>
              <w:t>.</w:t>
            </w:r>
          </w:p>
          <w:p w14:paraId="1D2F1007" w14:textId="77777777" w:rsidR="00BD4599" w:rsidRDefault="00BD4599" w:rsidP="00BD4599">
            <w:pPr>
              <w:pStyle w:val="Heading2"/>
              <w:jc w:val="both"/>
              <w:rPr>
                <w:rFonts w:ascii="Arial" w:hAnsi="Arial" w:cs="Arial"/>
                <w:szCs w:val="24"/>
                <w:u w:val="none"/>
                <w:lang w:val="en"/>
              </w:rPr>
            </w:pPr>
          </w:p>
        </w:tc>
      </w:tr>
      <w:tr w:rsidR="00A302FB" w:rsidRPr="00A90AA3" w14:paraId="554CDD45" w14:textId="77777777" w:rsidTr="008B7A70">
        <w:trPr>
          <w:gridAfter w:val="1"/>
          <w:wAfter w:w="123" w:type="dxa"/>
          <w:trHeight w:val="738"/>
        </w:trPr>
        <w:tc>
          <w:tcPr>
            <w:tcW w:w="1127" w:type="dxa"/>
          </w:tcPr>
          <w:p w14:paraId="6D3E3885" w14:textId="741E9683" w:rsidR="00A302FB" w:rsidRDefault="00A302FB" w:rsidP="00BD4599">
            <w:pPr>
              <w:pStyle w:val="NoSpacing"/>
              <w:ind w:left="720" w:hanging="683"/>
            </w:pPr>
            <w:r>
              <w:t>5.6</w:t>
            </w:r>
          </w:p>
        </w:tc>
        <w:tc>
          <w:tcPr>
            <w:tcW w:w="8815" w:type="dxa"/>
          </w:tcPr>
          <w:tbl>
            <w:tblPr>
              <w:tblW w:w="9639" w:type="dxa"/>
              <w:tblLayout w:type="fixed"/>
              <w:tblLook w:val="0000" w:firstRow="0" w:lastRow="0" w:firstColumn="0" w:lastColumn="0" w:noHBand="0" w:noVBand="0"/>
            </w:tblPr>
            <w:tblGrid>
              <w:gridCol w:w="9639"/>
            </w:tblGrid>
            <w:tr w:rsidR="00FF0A3A" w:rsidRPr="006346EB" w14:paraId="1E40DFC9" w14:textId="77777777" w:rsidTr="4E3E9867">
              <w:trPr>
                <w:trHeight w:val="80"/>
              </w:trPr>
              <w:tc>
                <w:tcPr>
                  <w:tcW w:w="8788" w:type="dxa"/>
                </w:tcPr>
                <w:p w14:paraId="0AB0EFA1" w14:textId="77777777" w:rsidR="007C56C1" w:rsidRDefault="00FF0A3A" w:rsidP="00FF0A3A">
                  <w:pPr>
                    <w:pStyle w:val="Heading2"/>
                    <w:jc w:val="both"/>
                    <w:rPr>
                      <w:rFonts w:ascii="Arial" w:hAnsi="Arial" w:cs="Arial"/>
                      <w:szCs w:val="24"/>
                      <w:u w:val="none"/>
                      <w:lang w:val="en"/>
                    </w:rPr>
                  </w:pPr>
                  <w:r>
                    <w:rPr>
                      <w:rFonts w:ascii="Arial" w:hAnsi="Arial" w:cs="Arial"/>
                      <w:szCs w:val="24"/>
                      <w:u w:val="none"/>
                      <w:lang w:val="en"/>
                    </w:rPr>
                    <w:t xml:space="preserve">The table below provides a comparison of the Gender Pay Gap results from </w:t>
                  </w:r>
                </w:p>
                <w:p w14:paraId="0B54F0E3" w14:textId="1D3D6C18" w:rsidR="00FF0A3A" w:rsidRDefault="00FF0A3A" w:rsidP="00FF0A3A">
                  <w:pPr>
                    <w:pStyle w:val="Heading2"/>
                    <w:jc w:val="both"/>
                    <w:rPr>
                      <w:rFonts w:ascii="Arial" w:hAnsi="Arial" w:cs="Arial"/>
                      <w:szCs w:val="24"/>
                      <w:u w:val="none"/>
                      <w:lang w:val="en"/>
                    </w:rPr>
                  </w:pPr>
                  <w:r>
                    <w:rPr>
                      <w:rFonts w:ascii="Arial" w:hAnsi="Arial" w:cs="Arial"/>
                      <w:szCs w:val="24"/>
                      <w:u w:val="none"/>
                      <w:lang w:val="en"/>
                    </w:rPr>
                    <w:t>2020/21</w:t>
                  </w:r>
                  <w:r w:rsidR="007C56C1">
                    <w:rPr>
                      <w:rFonts w:ascii="Arial" w:hAnsi="Arial" w:cs="Arial"/>
                      <w:szCs w:val="24"/>
                      <w:u w:val="none"/>
                      <w:lang w:val="en"/>
                    </w:rPr>
                    <w:t>,</w:t>
                  </w:r>
                  <w:r>
                    <w:rPr>
                      <w:rFonts w:ascii="Arial" w:hAnsi="Arial" w:cs="Arial"/>
                      <w:szCs w:val="24"/>
                      <w:u w:val="none"/>
                      <w:lang w:val="en"/>
                    </w:rPr>
                    <w:t xml:space="preserve"> 2021/22</w:t>
                  </w:r>
                  <w:r w:rsidR="007C56C1">
                    <w:rPr>
                      <w:rFonts w:ascii="Arial" w:hAnsi="Arial" w:cs="Arial"/>
                      <w:szCs w:val="24"/>
                      <w:u w:val="none"/>
                      <w:lang w:val="en"/>
                    </w:rPr>
                    <w:t xml:space="preserve"> and 2022/23</w:t>
                  </w:r>
                  <w:r>
                    <w:rPr>
                      <w:rFonts w:ascii="Arial" w:hAnsi="Arial" w:cs="Arial"/>
                      <w:szCs w:val="24"/>
                      <w:u w:val="none"/>
                      <w:lang w:val="en"/>
                    </w:rPr>
                    <w:t>:</w:t>
                  </w:r>
                </w:p>
                <w:p w14:paraId="365CB963" w14:textId="42D62588" w:rsidR="00FF0A3A" w:rsidRPr="006346EB" w:rsidRDefault="00FF0A3A" w:rsidP="4E3E9867">
                  <w:pPr>
                    <w:rPr>
                      <w:lang w:val="en"/>
                    </w:rPr>
                  </w:pPr>
                </w:p>
              </w:tc>
            </w:tr>
            <w:tr w:rsidR="00FF0A3A" w:rsidRPr="00E37EB7" w14:paraId="4E8EBACB" w14:textId="77777777" w:rsidTr="4E3E9867">
              <w:trPr>
                <w:trHeight w:val="80"/>
              </w:trPr>
              <w:tc>
                <w:tcPr>
                  <w:tcW w:w="8788" w:type="dxa"/>
                </w:tcPr>
                <w:tbl>
                  <w:tblPr>
                    <w:tblStyle w:val="TableGrid1"/>
                    <w:tblW w:w="8251" w:type="dxa"/>
                    <w:tblLayout w:type="fixed"/>
                    <w:tblLook w:val="04A0" w:firstRow="1" w:lastRow="0" w:firstColumn="1" w:lastColumn="0" w:noHBand="0" w:noVBand="1"/>
                  </w:tblPr>
                  <w:tblGrid>
                    <w:gridCol w:w="1151"/>
                    <w:gridCol w:w="3508"/>
                    <w:gridCol w:w="3592"/>
                  </w:tblGrid>
                  <w:tr w:rsidR="00FF0A3A" w:rsidRPr="00E37EB7" w14:paraId="0103A60B" w14:textId="77777777" w:rsidTr="00662A09">
                    <w:trPr>
                      <w:trHeight w:val="514"/>
                    </w:trPr>
                    <w:tc>
                      <w:tcPr>
                        <w:tcW w:w="1151" w:type="dxa"/>
                        <w:vMerge w:val="restart"/>
                        <w:tcBorders>
                          <w:top w:val="single" w:sz="4" w:space="0" w:color="auto"/>
                          <w:left w:val="single" w:sz="4" w:space="0" w:color="auto"/>
                          <w:right w:val="single" w:sz="4" w:space="0" w:color="auto"/>
                        </w:tcBorders>
                        <w:shd w:val="clear" w:color="auto" w:fill="BFBFBF" w:themeFill="background1" w:themeFillShade="BF"/>
                      </w:tcPr>
                      <w:p w14:paraId="39D5ED2C" w14:textId="77777777" w:rsidR="00FF0A3A" w:rsidRPr="001269D2" w:rsidRDefault="00FF0A3A" w:rsidP="00FF0A3A">
                        <w:pPr>
                          <w:autoSpaceDE w:val="0"/>
                          <w:autoSpaceDN w:val="0"/>
                          <w:adjustRightInd w:val="0"/>
                          <w:jc w:val="both"/>
                          <w:rPr>
                            <w:rFonts w:ascii="Arial" w:hAnsi="Arial" w:cs="Arial"/>
                            <w:b/>
                            <w:sz w:val="24"/>
                            <w:szCs w:val="24"/>
                          </w:rPr>
                        </w:pPr>
                      </w:p>
                    </w:tc>
                    <w:tc>
                      <w:tcPr>
                        <w:tcW w:w="7100" w:type="dxa"/>
                        <w:gridSpan w:val="2"/>
                        <w:tcBorders>
                          <w:top w:val="single" w:sz="4" w:space="0" w:color="auto"/>
                          <w:left w:val="single" w:sz="4" w:space="0" w:color="auto"/>
                          <w:right w:val="single" w:sz="4" w:space="0" w:color="auto"/>
                        </w:tcBorders>
                        <w:shd w:val="clear" w:color="auto" w:fill="BFBFBF" w:themeFill="background1" w:themeFillShade="BF"/>
                      </w:tcPr>
                      <w:p w14:paraId="5EF891F1" w14:textId="77777777" w:rsidR="00FF0A3A" w:rsidRPr="001269D2" w:rsidRDefault="00FF0A3A" w:rsidP="00FF0A3A">
                        <w:pPr>
                          <w:autoSpaceDE w:val="0"/>
                          <w:autoSpaceDN w:val="0"/>
                          <w:adjustRightInd w:val="0"/>
                          <w:jc w:val="both"/>
                          <w:rPr>
                            <w:rFonts w:ascii="Arial" w:hAnsi="Arial" w:cs="Arial"/>
                            <w:b/>
                            <w:sz w:val="24"/>
                            <w:szCs w:val="24"/>
                          </w:rPr>
                        </w:pPr>
                        <w:r w:rsidRPr="001269D2">
                          <w:rPr>
                            <w:rFonts w:ascii="Arial" w:hAnsi="Arial" w:cs="Arial"/>
                            <w:b/>
                            <w:sz w:val="24"/>
                            <w:szCs w:val="24"/>
                          </w:rPr>
                          <w:t>Difference between male and female</w:t>
                        </w:r>
                        <w:r>
                          <w:rPr>
                            <w:rFonts w:ascii="Arial" w:hAnsi="Arial" w:cs="Arial"/>
                            <w:b/>
                            <w:sz w:val="24"/>
                            <w:szCs w:val="24"/>
                          </w:rPr>
                          <w:t xml:space="preserve"> </w:t>
                        </w:r>
                        <w:r w:rsidRPr="001269D2">
                          <w:rPr>
                            <w:rFonts w:ascii="Arial" w:hAnsi="Arial" w:cs="Arial"/>
                            <w:b/>
                            <w:sz w:val="24"/>
                            <w:szCs w:val="24"/>
                          </w:rPr>
                          <w:t>hourly fixed pay</w:t>
                        </w:r>
                      </w:p>
                    </w:tc>
                  </w:tr>
                  <w:tr w:rsidR="00FF0A3A" w:rsidRPr="00E37EB7" w14:paraId="1D7D50A4" w14:textId="77777777" w:rsidTr="00662A09">
                    <w:trPr>
                      <w:trHeight w:val="315"/>
                    </w:trPr>
                    <w:tc>
                      <w:tcPr>
                        <w:tcW w:w="1151" w:type="dxa"/>
                        <w:vMerge/>
                        <w:tcBorders>
                          <w:left w:val="single" w:sz="4" w:space="0" w:color="auto"/>
                          <w:bottom w:val="single" w:sz="4" w:space="0" w:color="auto"/>
                          <w:right w:val="single" w:sz="4" w:space="0" w:color="auto"/>
                        </w:tcBorders>
                        <w:shd w:val="clear" w:color="auto" w:fill="BFBFBF" w:themeFill="background1" w:themeFillShade="BF"/>
                      </w:tcPr>
                      <w:p w14:paraId="04059F29" w14:textId="77777777" w:rsidR="00FF0A3A" w:rsidRPr="001269D2" w:rsidRDefault="00FF0A3A" w:rsidP="00FF0A3A">
                        <w:pPr>
                          <w:autoSpaceDE w:val="0"/>
                          <w:autoSpaceDN w:val="0"/>
                          <w:adjustRightInd w:val="0"/>
                          <w:jc w:val="both"/>
                          <w:rPr>
                            <w:rFonts w:ascii="Arial" w:hAnsi="Arial" w:cs="Arial"/>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B78CFC" w14:textId="77777777" w:rsidR="00FF0A3A" w:rsidRPr="001269D2" w:rsidRDefault="00FF0A3A" w:rsidP="00FF0A3A">
                        <w:pPr>
                          <w:autoSpaceDE w:val="0"/>
                          <w:autoSpaceDN w:val="0"/>
                          <w:adjustRightInd w:val="0"/>
                          <w:jc w:val="both"/>
                          <w:rPr>
                            <w:rFonts w:ascii="Arial" w:hAnsi="Arial" w:cs="Arial"/>
                            <w:b/>
                            <w:sz w:val="24"/>
                            <w:szCs w:val="24"/>
                          </w:rPr>
                        </w:pPr>
                        <w:r w:rsidRPr="001269D2">
                          <w:rPr>
                            <w:rFonts w:ascii="Arial" w:hAnsi="Arial" w:cs="Arial"/>
                            <w:b/>
                            <w:sz w:val="24"/>
                            <w:szCs w:val="24"/>
                          </w:rPr>
                          <w:t>Mean (average) Pay Gap</w:t>
                        </w:r>
                      </w:p>
                    </w:tc>
                    <w:tc>
                      <w:tcPr>
                        <w:tcW w:w="35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A88183" w14:textId="77777777" w:rsidR="00FF0A3A" w:rsidRPr="001269D2" w:rsidRDefault="00FF0A3A" w:rsidP="00FF0A3A">
                        <w:pPr>
                          <w:autoSpaceDE w:val="0"/>
                          <w:autoSpaceDN w:val="0"/>
                          <w:adjustRightInd w:val="0"/>
                          <w:jc w:val="both"/>
                          <w:rPr>
                            <w:rFonts w:ascii="Arial" w:hAnsi="Arial" w:cs="Arial"/>
                            <w:b/>
                            <w:sz w:val="24"/>
                            <w:szCs w:val="24"/>
                          </w:rPr>
                        </w:pPr>
                        <w:r w:rsidRPr="001269D2">
                          <w:rPr>
                            <w:rFonts w:ascii="Arial" w:hAnsi="Arial" w:cs="Arial"/>
                            <w:b/>
                            <w:sz w:val="24"/>
                            <w:szCs w:val="24"/>
                          </w:rPr>
                          <w:t>Median (midpoint) Pay Gap</w:t>
                        </w:r>
                      </w:p>
                    </w:tc>
                  </w:tr>
                  <w:tr w:rsidR="00FF0A3A" w14:paraId="2F63198A" w14:textId="77777777" w:rsidTr="00662A09">
                    <w:trPr>
                      <w:trHeight w:val="508"/>
                    </w:trPr>
                    <w:tc>
                      <w:tcPr>
                        <w:tcW w:w="1151" w:type="dxa"/>
                        <w:tcBorders>
                          <w:top w:val="single" w:sz="4" w:space="0" w:color="auto"/>
                          <w:left w:val="single" w:sz="4" w:space="0" w:color="auto"/>
                          <w:bottom w:val="single" w:sz="4" w:space="0" w:color="auto"/>
                          <w:right w:val="single" w:sz="4" w:space="0" w:color="auto"/>
                        </w:tcBorders>
                      </w:tcPr>
                      <w:p w14:paraId="44D6D676" w14:textId="77777777" w:rsidR="00FF0A3A" w:rsidRPr="001269D2" w:rsidRDefault="00FF0A3A" w:rsidP="00FF0A3A">
                        <w:pPr>
                          <w:autoSpaceDE w:val="0"/>
                          <w:autoSpaceDN w:val="0"/>
                          <w:adjustRightInd w:val="0"/>
                          <w:jc w:val="both"/>
                          <w:rPr>
                            <w:rFonts w:ascii="Arial" w:hAnsi="Arial" w:cs="Arial"/>
                            <w:b/>
                            <w:sz w:val="24"/>
                            <w:szCs w:val="24"/>
                          </w:rPr>
                        </w:pPr>
                        <w:r w:rsidRPr="001269D2">
                          <w:rPr>
                            <w:rFonts w:ascii="Arial" w:hAnsi="Arial" w:cs="Arial"/>
                            <w:b/>
                            <w:sz w:val="24"/>
                            <w:szCs w:val="24"/>
                          </w:rPr>
                          <w:t>2020/21</w:t>
                        </w:r>
                      </w:p>
                    </w:tc>
                    <w:tc>
                      <w:tcPr>
                        <w:tcW w:w="3508" w:type="dxa"/>
                        <w:tcBorders>
                          <w:top w:val="single" w:sz="4" w:space="0" w:color="auto"/>
                          <w:left w:val="single" w:sz="4" w:space="0" w:color="auto"/>
                          <w:bottom w:val="single" w:sz="4" w:space="0" w:color="auto"/>
                          <w:right w:val="single" w:sz="4" w:space="0" w:color="auto"/>
                        </w:tcBorders>
                      </w:tcPr>
                      <w:p w14:paraId="00EE4B22" w14:textId="77777777" w:rsidR="00FF0A3A" w:rsidRPr="001269D2" w:rsidRDefault="00FF0A3A" w:rsidP="00FF0A3A">
                        <w:pPr>
                          <w:autoSpaceDE w:val="0"/>
                          <w:autoSpaceDN w:val="0"/>
                          <w:adjustRightInd w:val="0"/>
                          <w:jc w:val="both"/>
                          <w:rPr>
                            <w:rFonts w:ascii="Arial" w:hAnsi="Arial" w:cs="Arial"/>
                            <w:sz w:val="24"/>
                            <w:szCs w:val="24"/>
                          </w:rPr>
                        </w:pPr>
                        <w:r w:rsidRPr="001269D2">
                          <w:rPr>
                            <w:rFonts w:ascii="Arial" w:hAnsi="Arial" w:cs="Arial"/>
                            <w:sz w:val="24"/>
                            <w:szCs w:val="24"/>
                          </w:rPr>
                          <w:t>9.1%</w:t>
                        </w:r>
                      </w:p>
                    </w:tc>
                    <w:tc>
                      <w:tcPr>
                        <w:tcW w:w="3592" w:type="dxa"/>
                        <w:tcBorders>
                          <w:top w:val="single" w:sz="4" w:space="0" w:color="auto"/>
                          <w:left w:val="single" w:sz="4" w:space="0" w:color="auto"/>
                          <w:bottom w:val="single" w:sz="4" w:space="0" w:color="auto"/>
                          <w:right w:val="single" w:sz="4" w:space="0" w:color="auto"/>
                        </w:tcBorders>
                      </w:tcPr>
                      <w:p w14:paraId="50C4F7CB" w14:textId="77777777" w:rsidR="00FF0A3A" w:rsidRPr="001269D2" w:rsidRDefault="00FF0A3A" w:rsidP="00FF0A3A">
                        <w:pPr>
                          <w:autoSpaceDE w:val="0"/>
                          <w:autoSpaceDN w:val="0"/>
                          <w:adjustRightInd w:val="0"/>
                          <w:jc w:val="both"/>
                          <w:rPr>
                            <w:rFonts w:ascii="Arial" w:hAnsi="Arial" w:cs="Arial"/>
                            <w:sz w:val="24"/>
                            <w:szCs w:val="24"/>
                          </w:rPr>
                        </w:pPr>
                        <w:r w:rsidRPr="001269D2">
                          <w:rPr>
                            <w:rFonts w:ascii="Arial" w:hAnsi="Arial" w:cs="Arial"/>
                            <w:sz w:val="24"/>
                            <w:szCs w:val="24"/>
                          </w:rPr>
                          <w:t>20.9%</w:t>
                        </w:r>
                      </w:p>
                    </w:tc>
                  </w:tr>
                  <w:tr w:rsidR="00FF0A3A" w14:paraId="2AF83836" w14:textId="77777777" w:rsidTr="00662A09">
                    <w:trPr>
                      <w:trHeight w:val="508"/>
                    </w:trPr>
                    <w:tc>
                      <w:tcPr>
                        <w:tcW w:w="1151" w:type="dxa"/>
                        <w:tcBorders>
                          <w:top w:val="single" w:sz="4" w:space="0" w:color="auto"/>
                          <w:left w:val="single" w:sz="4" w:space="0" w:color="auto"/>
                          <w:bottom w:val="single" w:sz="4" w:space="0" w:color="auto"/>
                          <w:right w:val="single" w:sz="4" w:space="0" w:color="auto"/>
                        </w:tcBorders>
                      </w:tcPr>
                      <w:p w14:paraId="07D78C91" w14:textId="77777777" w:rsidR="00FF0A3A" w:rsidRPr="001269D2" w:rsidRDefault="00FF0A3A" w:rsidP="00FF0A3A">
                        <w:pPr>
                          <w:autoSpaceDE w:val="0"/>
                          <w:autoSpaceDN w:val="0"/>
                          <w:adjustRightInd w:val="0"/>
                          <w:jc w:val="both"/>
                          <w:rPr>
                            <w:rFonts w:ascii="Arial" w:hAnsi="Arial" w:cs="Arial"/>
                            <w:b/>
                            <w:sz w:val="24"/>
                            <w:szCs w:val="24"/>
                          </w:rPr>
                        </w:pPr>
                        <w:r w:rsidRPr="001269D2">
                          <w:rPr>
                            <w:rFonts w:ascii="Arial" w:hAnsi="Arial" w:cs="Arial"/>
                            <w:b/>
                            <w:sz w:val="24"/>
                            <w:szCs w:val="24"/>
                          </w:rPr>
                          <w:t>2021/22</w:t>
                        </w:r>
                      </w:p>
                    </w:tc>
                    <w:tc>
                      <w:tcPr>
                        <w:tcW w:w="3508" w:type="dxa"/>
                        <w:tcBorders>
                          <w:top w:val="single" w:sz="4" w:space="0" w:color="auto"/>
                          <w:left w:val="single" w:sz="4" w:space="0" w:color="auto"/>
                          <w:bottom w:val="single" w:sz="4" w:space="0" w:color="auto"/>
                          <w:right w:val="single" w:sz="4" w:space="0" w:color="auto"/>
                        </w:tcBorders>
                      </w:tcPr>
                      <w:p w14:paraId="73384A73" w14:textId="77777777" w:rsidR="00FF0A3A" w:rsidRPr="001269D2" w:rsidRDefault="00FF0A3A" w:rsidP="00FF0A3A">
                        <w:pPr>
                          <w:autoSpaceDE w:val="0"/>
                          <w:autoSpaceDN w:val="0"/>
                          <w:adjustRightInd w:val="0"/>
                          <w:jc w:val="both"/>
                          <w:rPr>
                            <w:rFonts w:ascii="Arial" w:hAnsi="Arial" w:cs="Arial"/>
                            <w:sz w:val="24"/>
                            <w:szCs w:val="24"/>
                          </w:rPr>
                        </w:pPr>
                        <w:r w:rsidRPr="001269D2">
                          <w:rPr>
                            <w:rFonts w:ascii="Arial" w:hAnsi="Arial" w:cs="Arial"/>
                            <w:sz w:val="24"/>
                            <w:szCs w:val="24"/>
                          </w:rPr>
                          <w:t>9.8%</w:t>
                        </w:r>
                      </w:p>
                    </w:tc>
                    <w:tc>
                      <w:tcPr>
                        <w:tcW w:w="3592" w:type="dxa"/>
                        <w:tcBorders>
                          <w:top w:val="single" w:sz="4" w:space="0" w:color="auto"/>
                          <w:left w:val="single" w:sz="4" w:space="0" w:color="auto"/>
                          <w:bottom w:val="single" w:sz="4" w:space="0" w:color="auto"/>
                          <w:right w:val="single" w:sz="4" w:space="0" w:color="auto"/>
                        </w:tcBorders>
                      </w:tcPr>
                      <w:p w14:paraId="518D0B52" w14:textId="77777777" w:rsidR="00FF0A3A" w:rsidRPr="001269D2" w:rsidRDefault="00FF0A3A" w:rsidP="00FF0A3A">
                        <w:pPr>
                          <w:autoSpaceDE w:val="0"/>
                          <w:autoSpaceDN w:val="0"/>
                          <w:adjustRightInd w:val="0"/>
                          <w:jc w:val="both"/>
                          <w:rPr>
                            <w:rFonts w:ascii="Arial" w:hAnsi="Arial" w:cs="Arial"/>
                            <w:sz w:val="24"/>
                            <w:szCs w:val="24"/>
                          </w:rPr>
                        </w:pPr>
                        <w:r w:rsidRPr="001269D2">
                          <w:rPr>
                            <w:rFonts w:ascii="Arial" w:hAnsi="Arial" w:cs="Arial"/>
                            <w:sz w:val="24"/>
                            <w:szCs w:val="24"/>
                          </w:rPr>
                          <w:t>15.7%</w:t>
                        </w:r>
                      </w:p>
                    </w:tc>
                  </w:tr>
                  <w:tr w:rsidR="00FF0A3A" w14:paraId="697B4F5D" w14:textId="77777777" w:rsidTr="00662A09">
                    <w:trPr>
                      <w:trHeight w:val="508"/>
                    </w:trPr>
                    <w:tc>
                      <w:tcPr>
                        <w:tcW w:w="1151" w:type="dxa"/>
                        <w:tcBorders>
                          <w:top w:val="single" w:sz="4" w:space="0" w:color="auto"/>
                          <w:left w:val="single" w:sz="4" w:space="0" w:color="auto"/>
                          <w:bottom w:val="single" w:sz="4" w:space="0" w:color="auto"/>
                          <w:right w:val="single" w:sz="4" w:space="0" w:color="auto"/>
                        </w:tcBorders>
                      </w:tcPr>
                      <w:p w14:paraId="02EC4142" w14:textId="2877DB1B" w:rsidR="00FF0A3A" w:rsidRPr="001269D2" w:rsidRDefault="00FF0A3A" w:rsidP="00FF0A3A">
                        <w:pPr>
                          <w:autoSpaceDE w:val="0"/>
                          <w:autoSpaceDN w:val="0"/>
                          <w:adjustRightInd w:val="0"/>
                          <w:jc w:val="both"/>
                          <w:rPr>
                            <w:rFonts w:ascii="Arial" w:hAnsi="Arial" w:cs="Arial"/>
                            <w:b/>
                            <w:szCs w:val="24"/>
                          </w:rPr>
                        </w:pPr>
                        <w:r>
                          <w:rPr>
                            <w:rFonts w:ascii="Arial" w:hAnsi="Arial" w:cs="Arial"/>
                            <w:b/>
                            <w:szCs w:val="24"/>
                          </w:rPr>
                          <w:t>2022/23</w:t>
                        </w:r>
                      </w:p>
                    </w:tc>
                    <w:tc>
                      <w:tcPr>
                        <w:tcW w:w="3508" w:type="dxa"/>
                        <w:tcBorders>
                          <w:top w:val="single" w:sz="4" w:space="0" w:color="auto"/>
                          <w:left w:val="single" w:sz="4" w:space="0" w:color="auto"/>
                          <w:bottom w:val="single" w:sz="4" w:space="0" w:color="auto"/>
                          <w:right w:val="single" w:sz="4" w:space="0" w:color="auto"/>
                        </w:tcBorders>
                      </w:tcPr>
                      <w:p w14:paraId="3C903C65" w14:textId="02B49807" w:rsidR="00FF0A3A" w:rsidRPr="001269D2" w:rsidRDefault="00FF0A3A" w:rsidP="00FF0A3A">
                        <w:pPr>
                          <w:autoSpaceDE w:val="0"/>
                          <w:autoSpaceDN w:val="0"/>
                          <w:adjustRightInd w:val="0"/>
                          <w:jc w:val="both"/>
                          <w:rPr>
                            <w:rFonts w:ascii="Arial" w:hAnsi="Arial" w:cs="Arial"/>
                            <w:szCs w:val="24"/>
                          </w:rPr>
                        </w:pPr>
                        <w:r>
                          <w:rPr>
                            <w:rFonts w:ascii="Arial" w:hAnsi="Arial" w:cs="Arial"/>
                            <w:szCs w:val="24"/>
                          </w:rPr>
                          <w:t>9.9%</w:t>
                        </w:r>
                      </w:p>
                    </w:tc>
                    <w:tc>
                      <w:tcPr>
                        <w:tcW w:w="3592" w:type="dxa"/>
                        <w:tcBorders>
                          <w:top w:val="single" w:sz="4" w:space="0" w:color="auto"/>
                          <w:left w:val="single" w:sz="4" w:space="0" w:color="auto"/>
                          <w:bottom w:val="single" w:sz="4" w:space="0" w:color="auto"/>
                          <w:right w:val="single" w:sz="4" w:space="0" w:color="auto"/>
                        </w:tcBorders>
                      </w:tcPr>
                      <w:p w14:paraId="0469CA1C" w14:textId="6D178317" w:rsidR="00FF0A3A" w:rsidRPr="001269D2" w:rsidRDefault="00FF0A3A" w:rsidP="00FF0A3A">
                        <w:pPr>
                          <w:autoSpaceDE w:val="0"/>
                          <w:autoSpaceDN w:val="0"/>
                          <w:adjustRightInd w:val="0"/>
                          <w:jc w:val="both"/>
                          <w:rPr>
                            <w:rFonts w:ascii="Arial" w:hAnsi="Arial" w:cs="Arial"/>
                            <w:szCs w:val="24"/>
                          </w:rPr>
                        </w:pPr>
                        <w:r>
                          <w:rPr>
                            <w:rFonts w:ascii="Arial" w:hAnsi="Arial" w:cs="Arial"/>
                            <w:szCs w:val="24"/>
                          </w:rPr>
                          <w:t>17.0</w:t>
                        </w:r>
                        <w:r w:rsidR="007C56C1">
                          <w:rPr>
                            <w:rFonts w:ascii="Arial" w:hAnsi="Arial" w:cs="Arial"/>
                            <w:szCs w:val="24"/>
                          </w:rPr>
                          <w:t>%</w:t>
                        </w:r>
                      </w:p>
                    </w:tc>
                  </w:tr>
                </w:tbl>
                <w:p w14:paraId="0F9126EB" w14:textId="77777777" w:rsidR="00FF0A3A" w:rsidRPr="00E37EB7" w:rsidRDefault="00FF0A3A" w:rsidP="00FF0A3A">
                  <w:pPr>
                    <w:autoSpaceDE w:val="0"/>
                    <w:autoSpaceDN w:val="0"/>
                    <w:adjustRightInd w:val="0"/>
                    <w:ind w:right="357"/>
                    <w:jc w:val="both"/>
                    <w:rPr>
                      <w:rFonts w:ascii="Arial" w:hAnsi="Arial" w:cs="Arial"/>
                      <w:szCs w:val="24"/>
                    </w:rPr>
                  </w:pPr>
                </w:p>
              </w:tc>
            </w:tr>
          </w:tbl>
          <w:p w14:paraId="070B3DC2" w14:textId="77777777" w:rsidR="00A302FB" w:rsidRDefault="00A302FB" w:rsidP="00A302FB">
            <w:pPr>
              <w:pStyle w:val="Heading2"/>
              <w:jc w:val="both"/>
              <w:rPr>
                <w:rFonts w:ascii="Arial" w:hAnsi="Arial" w:cs="Arial"/>
                <w:szCs w:val="24"/>
                <w:u w:val="none"/>
                <w:lang w:val="en"/>
              </w:rPr>
            </w:pPr>
          </w:p>
        </w:tc>
      </w:tr>
      <w:tr w:rsidR="00A20B1F" w:rsidRPr="00A90AA3" w14:paraId="6ED2E5DD" w14:textId="77777777" w:rsidTr="008B7A70">
        <w:trPr>
          <w:gridAfter w:val="1"/>
          <w:wAfter w:w="123" w:type="dxa"/>
          <w:trHeight w:val="738"/>
        </w:trPr>
        <w:tc>
          <w:tcPr>
            <w:tcW w:w="1127" w:type="dxa"/>
          </w:tcPr>
          <w:p w14:paraId="200C38FF" w14:textId="77777777" w:rsidR="00A65E55" w:rsidRDefault="00A65E55" w:rsidP="2ABE7D72">
            <w:pPr>
              <w:pStyle w:val="NoSpacing"/>
            </w:pPr>
          </w:p>
          <w:p w14:paraId="3B1BF991" w14:textId="4FA8F6AD" w:rsidR="00A20B1F" w:rsidRDefault="2450611D" w:rsidP="2ABE7D72">
            <w:pPr>
              <w:pStyle w:val="NoSpacing"/>
            </w:pPr>
            <w:r>
              <w:t>5.7</w:t>
            </w:r>
          </w:p>
        </w:tc>
        <w:tc>
          <w:tcPr>
            <w:tcW w:w="8815" w:type="dxa"/>
          </w:tcPr>
          <w:p w14:paraId="024D636F" w14:textId="77777777" w:rsidR="00A65E55" w:rsidRDefault="00A65E55" w:rsidP="2ABE7D72">
            <w:pPr>
              <w:jc w:val="both"/>
              <w:rPr>
                <w:rFonts w:ascii="Arial" w:hAnsi="Arial" w:cs="Arial"/>
                <w:lang w:val="en"/>
              </w:rPr>
            </w:pPr>
          </w:p>
          <w:p w14:paraId="3B420552" w14:textId="0FF34291" w:rsidR="00BD4298" w:rsidRPr="00765859" w:rsidRDefault="2450611D" w:rsidP="2ABE7D72">
            <w:pPr>
              <w:jc w:val="both"/>
              <w:rPr>
                <w:rFonts w:ascii="Arial" w:hAnsi="Arial" w:cs="Arial"/>
                <w:lang w:val="en"/>
              </w:rPr>
            </w:pPr>
            <w:r w:rsidRPr="2ABE7D72">
              <w:rPr>
                <w:rFonts w:ascii="Arial" w:hAnsi="Arial" w:cs="Arial"/>
                <w:lang w:val="en"/>
              </w:rPr>
              <w:t xml:space="preserve">There has been no significant </w:t>
            </w:r>
            <w:r w:rsidR="6AD5DB53" w:rsidRPr="2ABE7D72">
              <w:rPr>
                <w:rFonts w:ascii="Arial" w:hAnsi="Arial" w:cs="Arial"/>
                <w:lang w:val="en"/>
              </w:rPr>
              <w:t xml:space="preserve">change in the male to female ratio (1:2) over the past year and only a slight increase </w:t>
            </w:r>
            <w:r w:rsidR="1675DB4D" w:rsidRPr="2ABE7D72">
              <w:rPr>
                <w:rFonts w:ascii="Arial" w:hAnsi="Arial" w:cs="Arial"/>
                <w:lang w:val="en"/>
              </w:rPr>
              <w:t>of 0.1% to the mean pay gap</w:t>
            </w:r>
            <w:r w:rsidR="568E91E2" w:rsidRPr="2ABE7D72">
              <w:rPr>
                <w:rFonts w:ascii="Arial" w:hAnsi="Arial" w:cs="Arial"/>
                <w:lang w:val="en"/>
              </w:rPr>
              <w:t>.</w:t>
            </w:r>
          </w:p>
        </w:tc>
      </w:tr>
      <w:tr w:rsidR="00E900F2" w:rsidRPr="00A90AA3" w14:paraId="2B69F1C5" w14:textId="77777777" w:rsidTr="008B7A70">
        <w:trPr>
          <w:gridAfter w:val="1"/>
          <w:wAfter w:w="123" w:type="dxa"/>
          <w:trHeight w:val="738"/>
        </w:trPr>
        <w:tc>
          <w:tcPr>
            <w:tcW w:w="1127" w:type="dxa"/>
          </w:tcPr>
          <w:p w14:paraId="601ACA6D" w14:textId="77777777" w:rsidR="00E900F2" w:rsidRDefault="00E900F2" w:rsidP="00BD4599">
            <w:pPr>
              <w:pStyle w:val="NoSpacing"/>
              <w:ind w:left="720" w:hanging="683"/>
            </w:pPr>
          </w:p>
          <w:p w14:paraId="08C4C9FF" w14:textId="299D40B6" w:rsidR="00E900F2" w:rsidRDefault="00E900F2" w:rsidP="00BD4599">
            <w:pPr>
              <w:pStyle w:val="NoSpacing"/>
              <w:ind w:left="720" w:hanging="683"/>
            </w:pPr>
            <w:r>
              <w:t>5.8</w:t>
            </w:r>
          </w:p>
        </w:tc>
        <w:tc>
          <w:tcPr>
            <w:tcW w:w="8815" w:type="dxa"/>
          </w:tcPr>
          <w:p w14:paraId="6E13D9D8" w14:textId="77777777" w:rsidR="00E900F2" w:rsidRPr="00765859" w:rsidRDefault="00E900F2" w:rsidP="00FF0A3A">
            <w:pPr>
              <w:pStyle w:val="Heading2"/>
              <w:jc w:val="both"/>
              <w:rPr>
                <w:rFonts w:ascii="Arial" w:hAnsi="Arial" w:cs="Arial"/>
                <w:szCs w:val="24"/>
                <w:u w:val="none"/>
                <w:lang w:val="en"/>
              </w:rPr>
            </w:pPr>
          </w:p>
          <w:p w14:paraId="3BAD067B" w14:textId="77777777" w:rsidR="00E900F2" w:rsidRDefault="568E91E2" w:rsidP="2ABE7D72">
            <w:pPr>
              <w:jc w:val="both"/>
              <w:rPr>
                <w:rFonts w:ascii="Arial" w:hAnsi="Arial" w:cs="Arial"/>
                <w:lang w:val="en"/>
              </w:rPr>
            </w:pPr>
            <w:r w:rsidRPr="2ABE7D72">
              <w:rPr>
                <w:rFonts w:ascii="Arial" w:hAnsi="Arial" w:cs="Arial"/>
                <w:lang w:val="en"/>
              </w:rPr>
              <w:t>There has also been an increase in the median</w:t>
            </w:r>
            <w:r w:rsidR="235DDCD7" w:rsidRPr="2ABE7D72">
              <w:rPr>
                <w:rFonts w:ascii="Arial" w:hAnsi="Arial" w:cs="Arial"/>
                <w:lang w:val="en"/>
              </w:rPr>
              <w:t xml:space="preserve"> pay gap of 1.3% in 2022/23</w:t>
            </w:r>
            <w:r w:rsidR="7738775D" w:rsidRPr="2ABE7D72">
              <w:rPr>
                <w:rFonts w:ascii="Arial" w:hAnsi="Arial" w:cs="Arial"/>
                <w:lang w:val="en"/>
              </w:rPr>
              <w:t xml:space="preserve">.  This is </w:t>
            </w:r>
            <w:proofErr w:type="gramStart"/>
            <w:r w:rsidR="7738775D" w:rsidRPr="2ABE7D72">
              <w:rPr>
                <w:rFonts w:ascii="Arial" w:hAnsi="Arial" w:cs="Arial"/>
                <w:lang w:val="en"/>
              </w:rPr>
              <w:t>as a result of</w:t>
            </w:r>
            <w:proofErr w:type="gramEnd"/>
            <w:r w:rsidR="7738775D" w:rsidRPr="2ABE7D72">
              <w:rPr>
                <w:rFonts w:ascii="Arial" w:hAnsi="Arial" w:cs="Arial"/>
                <w:lang w:val="en"/>
              </w:rPr>
              <w:t xml:space="preserve"> there being a sligh</w:t>
            </w:r>
            <w:r w:rsidR="630DC6E7" w:rsidRPr="2ABE7D72">
              <w:rPr>
                <w:rFonts w:ascii="Arial" w:hAnsi="Arial" w:cs="Arial"/>
                <w:lang w:val="en"/>
              </w:rPr>
              <w:t>t increase</w:t>
            </w:r>
            <w:r w:rsidR="7738775D" w:rsidRPr="2ABE7D72">
              <w:rPr>
                <w:rFonts w:ascii="Arial" w:hAnsi="Arial" w:cs="Arial"/>
                <w:lang w:val="en"/>
              </w:rPr>
              <w:t xml:space="preserve"> </w:t>
            </w:r>
            <w:r w:rsidR="630DC6E7" w:rsidRPr="2ABE7D72">
              <w:rPr>
                <w:rFonts w:ascii="Arial" w:hAnsi="Arial" w:cs="Arial"/>
                <w:lang w:val="en"/>
              </w:rPr>
              <w:t xml:space="preserve">in the proportion of females </w:t>
            </w:r>
            <w:r w:rsidR="09EDF674" w:rsidRPr="2ABE7D72">
              <w:rPr>
                <w:rFonts w:ascii="Arial" w:hAnsi="Arial" w:cs="Arial"/>
                <w:lang w:val="en"/>
              </w:rPr>
              <w:t>to males in the lowe</w:t>
            </w:r>
            <w:r w:rsidR="1F9BABFE" w:rsidRPr="2ABE7D72">
              <w:rPr>
                <w:rFonts w:ascii="Arial" w:hAnsi="Arial" w:cs="Arial"/>
                <w:lang w:val="en"/>
              </w:rPr>
              <w:t xml:space="preserve">st </w:t>
            </w:r>
            <w:r w:rsidR="09EDF674" w:rsidRPr="2ABE7D72">
              <w:rPr>
                <w:rFonts w:ascii="Arial" w:hAnsi="Arial" w:cs="Arial"/>
                <w:lang w:val="en"/>
              </w:rPr>
              <w:t>paid posts</w:t>
            </w:r>
            <w:r w:rsidR="5F663748" w:rsidRPr="2ABE7D72">
              <w:rPr>
                <w:rFonts w:ascii="Arial" w:hAnsi="Arial" w:cs="Arial"/>
                <w:lang w:val="en"/>
              </w:rPr>
              <w:t>,</w:t>
            </w:r>
            <w:r w:rsidR="44AD8392" w:rsidRPr="2ABE7D72">
              <w:rPr>
                <w:rFonts w:ascii="Arial" w:hAnsi="Arial" w:cs="Arial"/>
                <w:lang w:val="en"/>
              </w:rPr>
              <w:t xml:space="preserve"> </w:t>
            </w:r>
            <w:r w:rsidR="69781A3C" w:rsidRPr="2ABE7D72">
              <w:rPr>
                <w:rFonts w:ascii="Arial" w:hAnsi="Arial" w:cs="Arial"/>
                <w:lang w:val="en"/>
              </w:rPr>
              <w:t>resulting in</w:t>
            </w:r>
            <w:r w:rsidR="38049A82" w:rsidRPr="2ABE7D72">
              <w:rPr>
                <w:rFonts w:ascii="Arial" w:hAnsi="Arial" w:cs="Arial"/>
                <w:lang w:val="en"/>
              </w:rPr>
              <w:t xml:space="preserve"> an increased gap </w:t>
            </w:r>
            <w:r w:rsidR="5F663748" w:rsidRPr="2ABE7D72">
              <w:rPr>
                <w:rFonts w:ascii="Arial" w:hAnsi="Arial" w:cs="Arial"/>
                <w:lang w:val="en"/>
              </w:rPr>
              <w:t xml:space="preserve">between </w:t>
            </w:r>
            <w:r w:rsidR="02A76C72" w:rsidRPr="2ABE7D72">
              <w:rPr>
                <w:rFonts w:ascii="Arial" w:hAnsi="Arial" w:cs="Arial"/>
                <w:lang w:val="en"/>
              </w:rPr>
              <w:t>female and male</w:t>
            </w:r>
            <w:r w:rsidR="38049A82" w:rsidRPr="2ABE7D72">
              <w:rPr>
                <w:rFonts w:ascii="Arial" w:hAnsi="Arial" w:cs="Arial"/>
                <w:lang w:val="en"/>
              </w:rPr>
              <w:t xml:space="preserve"> median hourly rate</w:t>
            </w:r>
            <w:r w:rsidR="02A76C72" w:rsidRPr="2ABE7D72">
              <w:rPr>
                <w:rFonts w:ascii="Arial" w:hAnsi="Arial" w:cs="Arial"/>
                <w:lang w:val="en"/>
              </w:rPr>
              <w:t>s</w:t>
            </w:r>
            <w:r w:rsidR="58833A06" w:rsidRPr="2ABE7D72">
              <w:rPr>
                <w:rFonts w:ascii="Arial" w:hAnsi="Arial" w:cs="Arial"/>
                <w:lang w:val="en"/>
              </w:rPr>
              <w:t>. In 20</w:t>
            </w:r>
            <w:r w:rsidR="3E72972C" w:rsidRPr="2ABE7D72">
              <w:rPr>
                <w:rFonts w:ascii="Arial" w:hAnsi="Arial" w:cs="Arial"/>
                <w:lang w:val="en"/>
              </w:rPr>
              <w:t xml:space="preserve">21/22 the gap was £2.10 per hour whereas in 2022/23 the gap was </w:t>
            </w:r>
            <w:r w:rsidR="0CED3A02" w:rsidRPr="2ABE7D72">
              <w:rPr>
                <w:rFonts w:ascii="Arial" w:hAnsi="Arial" w:cs="Arial"/>
                <w:lang w:val="en"/>
              </w:rPr>
              <w:t>£2.52.</w:t>
            </w:r>
          </w:p>
          <w:p w14:paraId="0085E334" w14:textId="5B21FBAF" w:rsidR="003B0826" w:rsidRPr="00765859" w:rsidRDefault="003B0826" w:rsidP="00E900F2">
            <w:pPr>
              <w:rPr>
                <w:rFonts w:ascii="Arial" w:hAnsi="Arial" w:cs="Arial"/>
                <w:lang w:val="en"/>
              </w:rPr>
            </w:pPr>
          </w:p>
        </w:tc>
      </w:tr>
      <w:tr w:rsidR="00BD4599" w:rsidRPr="00A90AA3" w14:paraId="0567F364" w14:textId="77777777" w:rsidTr="008B7A70">
        <w:tc>
          <w:tcPr>
            <w:tcW w:w="1127" w:type="dxa"/>
          </w:tcPr>
          <w:p w14:paraId="26E27BC8" w14:textId="00A80BF0" w:rsidR="00BD4599" w:rsidRPr="00F80CF1" w:rsidRDefault="008B7A70" w:rsidP="00BD4599">
            <w:pPr>
              <w:pStyle w:val="NoSpacing"/>
              <w:rPr>
                <w:b/>
                <w:bCs/>
              </w:rPr>
            </w:pPr>
            <w:bookmarkStart w:id="7" w:name="_Hlk97757709"/>
            <w:r>
              <w:rPr>
                <w:b/>
                <w:bCs/>
              </w:rPr>
              <w:t>6</w:t>
            </w:r>
            <w:r w:rsidR="00BD4599" w:rsidRPr="00F80CF1">
              <w:rPr>
                <w:b/>
                <w:bCs/>
              </w:rPr>
              <w:t>.</w:t>
            </w:r>
          </w:p>
        </w:tc>
        <w:tc>
          <w:tcPr>
            <w:tcW w:w="8938" w:type="dxa"/>
            <w:gridSpan w:val="2"/>
          </w:tcPr>
          <w:p w14:paraId="59B3616D" w14:textId="0E1C2ED1" w:rsidR="00BD4599" w:rsidRPr="00A90AA3" w:rsidRDefault="00BD4599" w:rsidP="00BD4599">
            <w:pPr>
              <w:pStyle w:val="NoSpacing"/>
              <w:rPr>
                <w:b/>
                <w:bCs/>
              </w:rPr>
            </w:pPr>
            <w:r w:rsidRPr="00A90AA3">
              <w:rPr>
                <w:b/>
                <w:bCs/>
              </w:rPr>
              <w:t>Implications</w:t>
            </w:r>
          </w:p>
          <w:p w14:paraId="51AD6E29" w14:textId="77777777" w:rsidR="00BD4599" w:rsidRPr="00A90AA3" w:rsidRDefault="00BD4599" w:rsidP="00BD4599">
            <w:pPr>
              <w:pStyle w:val="NoSpacing"/>
              <w:rPr>
                <w:b/>
                <w:bCs/>
              </w:rPr>
            </w:pPr>
          </w:p>
        </w:tc>
      </w:tr>
      <w:tr w:rsidR="00BD4599" w:rsidRPr="00A90AA3" w14:paraId="73FE3FB2" w14:textId="77777777" w:rsidTr="008B7A70">
        <w:tc>
          <w:tcPr>
            <w:tcW w:w="1127" w:type="dxa"/>
          </w:tcPr>
          <w:p w14:paraId="7FF0E44B" w14:textId="7F5BE234" w:rsidR="00BD4599" w:rsidRPr="00A90AA3" w:rsidRDefault="008B7A70" w:rsidP="00BD4599">
            <w:pPr>
              <w:pStyle w:val="NoSpacing"/>
              <w:ind w:left="792" w:hanging="755"/>
            </w:pPr>
            <w:r>
              <w:t>6</w:t>
            </w:r>
            <w:r w:rsidR="003B0826">
              <w:t>.</w:t>
            </w:r>
            <w:r w:rsidR="00BD4599">
              <w:t>1</w:t>
            </w:r>
          </w:p>
        </w:tc>
        <w:tc>
          <w:tcPr>
            <w:tcW w:w="8938" w:type="dxa"/>
            <w:gridSpan w:val="2"/>
          </w:tcPr>
          <w:p w14:paraId="572B5807" w14:textId="424EBB14" w:rsidR="00BD4599" w:rsidRDefault="00BD4599" w:rsidP="4E3E9867">
            <w:pPr>
              <w:jc w:val="both"/>
              <w:rPr>
                <w:rFonts w:ascii="Arial" w:hAnsi="Arial" w:cs="Arial"/>
              </w:rPr>
            </w:pPr>
            <w:r w:rsidRPr="4E3E9867">
              <w:rPr>
                <w:rFonts w:ascii="Arial" w:hAnsi="Arial" w:cs="Arial"/>
              </w:rPr>
              <w:t>Resource Implications – there are no new resource implications arising from the report, at this stage</w:t>
            </w:r>
            <w:r w:rsidR="47D13455" w:rsidRPr="4E3E9867">
              <w:rPr>
                <w:rFonts w:ascii="Arial" w:hAnsi="Arial" w:cs="Arial"/>
              </w:rPr>
              <w:t xml:space="preserve">. </w:t>
            </w:r>
          </w:p>
          <w:p w14:paraId="57730E73" w14:textId="58433D0F" w:rsidR="00E6297F" w:rsidRPr="00A90AA3" w:rsidRDefault="00E6297F" w:rsidP="00E6297F">
            <w:pPr>
              <w:jc w:val="both"/>
              <w:rPr>
                <w:rFonts w:ascii="Arial" w:hAnsi="Arial" w:cs="Arial"/>
                <w:szCs w:val="24"/>
              </w:rPr>
            </w:pPr>
          </w:p>
        </w:tc>
      </w:tr>
      <w:tr w:rsidR="00BD4599" w:rsidRPr="00A90AA3" w14:paraId="5C2E0047" w14:textId="77777777" w:rsidTr="008B7A70">
        <w:tc>
          <w:tcPr>
            <w:tcW w:w="1127" w:type="dxa"/>
          </w:tcPr>
          <w:p w14:paraId="3882572D" w14:textId="77B39E6F" w:rsidR="00BD4599" w:rsidRPr="00A90AA3" w:rsidRDefault="008B7A70" w:rsidP="00BD4599">
            <w:pPr>
              <w:pStyle w:val="NoSpacing"/>
              <w:ind w:left="792" w:hanging="755"/>
            </w:pPr>
            <w:r>
              <w:t>6</w:t>
            </w:r>
            <w:r w:rsidR="00BD4599">
              <w:t>.2</w:t>
            </w:r>
          </w:p>
        </w:tc>
        <w:tc>
          <w:tcPr>
            <w:tcW w:w="8938" w:type="dxa"/>
            <w:gridSpan w:val="2"/>
          </w:tcPr>
          <w:p w14:paraId="7D2CBC71" w14:textId="77777777" w:rsidR="00BD4599" w:rsidRDefault="00BD4599" w:rsidP="00BD4599">
            <w:pPr>
              <w:jc w:val="both"/>
              <w:rPr>
                <w:rFonts w:ascii="Arial" w:hAnsi="Arial" w:cs="Arial"/>
                <w:szCs w:val="24"/>
              </w:rPr>
            </w:pPr>
            <w:r w:rsidRPr="00A90AA3">
              <w:rPr>
                <w:rFonts w:ascii="Arial" w:hAnsi="Arial" w:cs="Arial"/>
                <w:szCs w:val="24"/>
              </w:rPr>
              <w:t xml:space="preserve">Legal Implications </w:t>
            </w:r>
            <w:r>
              <w:rPr>
                <w:rFonts w:ascii="Arial" w:hAnsi="Arial" w:cs="Arial"/>
                <w:szCs w:val="24"/>
              </w:rPr>
              <w:t xml:space="preserve">– there are no new legal implications arising from this </w:t>
            </w:r>
            <w:proofErr w:type="gramStart"/>
            <w:r>
              <w:rPr>
                <w:rFonts w:ascii="Arial" w:hAnsi="Arial" w:cs="Arial"/>
                <w:szCs w:val="24"/>
              </w:rPr>
              <w:t>report</w:t>
            </w:r>
            <w:proofErr w:type="gramEnd"/>
          </w:p>
          <w:p w14:paraId="7B5738E1" w14:textId="1DE534F1" w:rsidR="00BD4599" w:rsidRPr="00A90AA3" w:rsidRDefault="00BD4599" w:rsidP="00BD4599">
            <w:pPr>
              <w:jc w:val="both"/>
              <w:rPr>
                <w:rFonts w:ascii="Arial" w:hAnsi="Arial" w:cs="Arial"/>
                <w:szCs w:val="24"/>
              </w:rPr>
            </w:pPr>
          </w:p>
        </w:tc>
      </w:tr>
      <w:tr w:rsidR="00BD4599" w:rsidRPr="00A90AA3" w14:paraId="69CCE2DA" w14:textId="77777777" w:rsidTr="008B7A70">
        <w:tc>
          <w:tcPr>
            <w:tcW w:w="1127" w:type="dxa"/>
          </w:tcPr>
          <w:p w14:paraId="7DEA9F26" w14:textId="5530A532" w:rsidR="00BD4599" w:rsidRPr="00A90AA3" w:rsidRDefault="008B7A70" w:rsidP="00BD4599">
            <w:pPr>
              <w:pStyle w:val="NoSpacing"/>
              <w:ind w:left="792" w:hanging="755"/>
            </w:pPr>
            <w:r>
              <w:t>6</w:t>
            </w:r>
            <w:r w:rsidR="00BD4599">
              <w:t>.3</w:t>
            </w:r>
          </w:p>
        </w:tc>
        <w:tc>
          <w:tcPr>
            <w:tcW w:w="8938" w:type="dxa"/>
            <w:gridSpan w:val="2"/>
          </w:tcPr>
          <w:p w14:paraId="0A4F4BE1" w14:textId="77777777" w:rsidR="00BD4599" w:rsidRPr="00A90AA3" w:rsidRDefault="00BD4599" w:rsidP="00BD4599">
            <w:pPr>
              <w:jc w:val="both"/>
              <w:rPr>
                <w:rFonts w:ascii="Arial" w:hAnsi="Arial" w:cs="Arial"/>
                <w:szCs w:val="24"/>
              </w:rPr>
            </w:pPr>
            <w:r w:rsidRPr="00A90AA3">
              <w:rPr>
                <w:rFonts w:ascii="Arial" w:hAnsi="Arial" w:cs="Arial"/>
                <w:szCs w:val="24"/>
              </w:rPr>
              <w:t>Equality Implications – there are no new equality implications arising from this report.</w:t>
            </w:r>
          </w:p>
          <w:p w14:paraId="2CE8608E" w14:textId="25E2D698" w:rsidR="00BD4599" w:rsidRPr="00A90AA3" w:rsidRDefault="00BD4599" w:rsidP="00BD4599">
            <w:pPr>
              <w:jc w:val="both"/>
              <w:rPr>
                <w:rFonts w:ascii="Arial" w:hAnsi="Arial" w:cs="Arial"/>
                <w:szCs w:val="24"/>
              </w:rPr>
            </w:pPr>
          </w:p>
        </w:tc>
      </w:tr>
      <w:tr w:rsidR="00BD4599" w:rsidRPr="00A90AA3" w14:paraId="379511D8" w14:textId="77777777" w:rsidTr="008B7A70">
        <w:tc>
          <w:tcPr>
            <w:tcW w:w="1127" w:type="dxa"/>
          </w:tcPr>
          <w:p w14:paraId="4D0A9AFC" w14:textId="61213EE7" w:rsidR="00BD4599" w:rsidRPr="00A90AA3" w:rsidRDefault="008B7A70" w:rsidP="00BD4599">
            <w:pPr>
              <w:pStyle w:val="NoSpacing"/>
              <w:ind w:left="792" w:hanging="755"/>
            </w:pPr>
            <w:r>
              <w:t>6</w:t>
            </w:r>
            <w:r w:rsidR="00BD4599">
              <w:t>.4</w:t>
            </w:r>
          </w:p>
        </w:tc>
        <w:tc>
          <w:tcPr>
            <w:tcW w:w="8938" w:type="dxa"/>
            <w:gridSpan w:val="2"/>
          </w:tcPr>
          <w:p w14:paraId="0C180C77" w14:textId="7BA754C9" w:rsidR="00BD4599" w:rsidRDefault="00BD4599" w:rsidP="00BD4599">
            <w:pPr>
              <w:rPr>
                <w:rFonts w:ascii="Arial" w:hAnsi="Arial" w:cs="Arial"/>
                <w:szCs w:val="24"/>
              </w:rPr>
            </w:pPr>
            <w:r w:rsidRPr="00A90AA3">
              <w:rPr>
                <w:rFonts w:ascii="Arial" w:hAnsi="Arial" w:cs="Arial"/>
                <w:szCs w:val="24"/>
              </w:rPr>
              <w:t xml:space="preserve">Risk Implications – there are no new risk implications arising from this report. </w:t>
            </w:r>
          </w:p>
          <w:p w14:paraId="16B56FDE" w14:textId="77777777" w:rsidR="00BD4599" w:rsidRDefault="00BD4599" w:rsidP="00BD4599">
            <w:pPr>
              <w:rPr>
                <w:rFonts w:ascii="Arial" w:hAnsi="Arial" w:cs="Arial"/>
                <w:szCs w:val="24"/>
              </w:rPr>
            </w:pPr>
          </w:p>
          <w:p w14:paraId="67632C21" w14:textId="77777777" w:rsidR="008B7A70" w:rsidRDefault="008B7A70" w:rsidP="00BD4599">
            <w:pPr>
              <w:rPr>
                <w:rFonts w:ascii="Arial" w:hAnsi="Arial" w:cs="Arial"/>
                <w:szCs w:val="24"/>
              </w:rPr>
            </w:pPr>
          </w:p>
          <w:p w14:paraId="526EA137" w14:textId="77777777" w:rsidR="00BD4599" w:rsidRDefault="00BD4599" w:rsidP="00BD4599">
            <w:pPr>
              <w:rPr>
                <w:rFonts w:ascii="Arial" w:hAnsi="Arial" w:cs="Arial"/>
                <w:szCs w:val="24"/>
              </w:rPr>
            </w:pPr>
          </w:p>
          <w:p w14:paraId="2AE8947C" w14:textId="7CC1E333" w:rsidR="006D7A2E" w:rsidRPr="00A90AA3" w:rsidRDefault="006D7A2E" w:rsidP="00BD4599">
            <w:pPr>
              <w:rPr>
                <w:rFonts w:ascii="Arial" w:hAnsi="Arial" w:cs="Arial"/>
                <w:szCs w:val="24"/>
              </w:rPr>
            </w:pPr>
          </w:p>
        </w:tc>
      </w:tr>
      <w:bookmarkEnd w:id="7"/>
      <w:tr w:rsidR="00BD4599" w:rsidRPr="00A90AA3" w14:paraId="30BD85CD" w14:textId="77777777" w:rsidTr="2ABE7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dxa"/>
        </w:trPr>
        <w:tc>
          <w:tcPr>
            <w:tcW w:w="9942" w:type="dxa"/>
            <w:gridSpan w:val="2"/>
            <w:tcBorders>
              <w:top w:val="single" w:sz="4" w:space="0" w:color="auto"/>
              <w:left w:val="single" w:sz="4" w:space="0" w:color="auto"/>
              <w:bottom w:val="single" w:sz="4" w:space="0" w:color="auto"/>
              <w:right w:val="single" w:sz="4" w:space="0" w:color="auto"/>
            </w:tcBorders>
          </w:tcPr>
          <w:p w14:paraId="5B133731" w14:textId="40A4F8A4" w:rsidR="00BD4599" w:rsidRPr="00A90AA3" w:rsidRDefault="00BD4599" w:rsidP="00BD4599">
            <w:pPr>
              <w:pStyle w:val="NoSpacing"/>
              <w:rPr>
                <w:b/>
                <w:bCs/>
              </w:rPr>
            </w:pPr>
            <w:r w:rsidRPr="00A90AA3">
              <w:rPr>
                <w:b/>
                <w:bCs/>
              </w:rPr>
              <w:lastRenderedPageBreak/>
              <w:t>Recommendation</w:t>
            </w:r>
          </w:p>
          <w:p w14:paraId="2E46C0A9" w14:textId="77777777" w:rsidR="00BD4599" w:rsidRPr="00A90AA3" w:rsidRDefault="00BD4599" w:rsidP="00BD4599">
            <w:pPr>
              <w:pStyle w:val="NoSpacing"/>
            </w:pPr>
          </w:p>
          <w:p w14:paraId="6EDB0EA2" w14:textId="77777777" w:rsidR="00390A8F" w:rsidRDefault="00390A8F" w:rsidP="00390A8F">
            <w:pPr>
              <w:pStyle w:val="NoSpacing"/>
            </w:pPr>
            <w:r>
              <w:t>It is recommended Directors:</w:t>
            </w:r>
          </w:p>
          <w:p w14:paraId="64CD436D" w14:textId="77777777" w:rsidR="00390A8F" w:rsidRDefault="00390A8F" w:rsidP="00390A8F">
            <w:pPr>
              <w:pStyle w:val="NoSpacing"/>
            </w:pPr>
          </w:p>
          <w:p w14:paraId="31A0A010" w14:textId="77777777" w:rsidR="00390A8F" w:rsidRDefault="00390A8F" w:rsidP="00390A8F">
            <w:pPr>
              <w:pStyle w:val="NoSpacing"/>
              <w:numPr>
                <w:ilvl w:val="0"/>
                <w:numId w:val="37"/>
              </w:numPr>
              <w:jc w:val="both"/>
            </w:pPr>
            <w:r>
              <w:t>note the standing HR matters for Q2 (July - Sept 2023</w:t>
            </w:r>
            <w:proofErr w:type="gramStart"/>
            <w:r>
              <w:t>);</w:t>
            </w:r>
            <w:proofErr w:type="gramEnd"/>
            <w:r>
              <w:t xml:space="preserve"> </w:t>
            </w:r>
          </w:p>
          <w:p w14:paraId="7A295C20" w14:textId="77777777" w:rsidR="00390A8F" w:rsidRDefault="00390A8F" w:rsidP="00390A8F">
            <w:pPr>
              <w:pStyle w:val="NoSpacing"/>
              <w:numPr>
                <w:ilvl w:val="0"/>
                <w:numId w:val="37"/>
              </w:numPr>
              <w:jc w:val="both"/>
            </w:pPr>
            <w:r>
              <w:t>note the pending SJC Pay Award; and</w:t>
            </w:r>
          </w:p>
          <w:p w14:paraId="1FC0416C" w14:textId="77777777" w:rsidR="00390A8F" w:rsidRDefault="00390A8F" w:rsidP="00390A8F">
            <w:pPr>
              <w:pStyle w:val="NoSpacing"/>
              <w:numPr>
                <w:ilvl w:val="0"/>
                <w:numId w:val="37"/>
              </w:numPr>
              <w:jc w:val="both"/>
            </w:pPr>
            <w:r>
              <w:t>approve the</w:t>
            </w:r>
            <w:r w:rsidRPr="00CC4EFF">
              <w:t xml:space="preserve"> Gender Pay Gap Report in </w:t>
            </w:r>
            <w:r w:rsidRPr="00CC4EFF">
              <w:rPr>
                <w:b/>
              </w:rPr>
              <w:t xml:space="preserve">Appendix </w:t>
            </w:r>
            <w:r>
              <w:rPr>
                <w:b/>
              </w:rPr>
              <w:t>C</w:t>
            </w:r>
            <w:r w:rsidRPr="00CC4EFF">
              <w:rPr>
                <w:b/>
              </w:rPr>
              <w:t xml:space="preserve"> </w:t>
            </w:r>
            <w:r>
              <w:t>for</w:t>
            </w:r>
            <w:r w:rsidRPr="00CC4EFF">
              <w:t xml:space="preserve"> submission to the UK Government and publication on the HLH web</w:t>
            </w:r>
            <w:r>
              <w:t xml:space="preserve"> </w:t>
            </w:r>
            <w:r w:rsidRPr="00CC4EFF">
              <w:t>site</w:t>
            </w:r>
            <w:r>
              <w:t xml:space="preserve">. </w:t>
            </w:r>
          </w:p>
          <w:p w14:paraId="197B7829" w14:textId="50B217EA" w:rsidR="00BD4599" w:rsidRPr="00D43B41" w:rsidRDefault="00BD4599" w:rsidP="003B0826">
            <w:pPr>
              <w:pStyle w:val="NoSpacing"/>
              <w:ind w:left="1440"/>
              <w:jc w:val="both"/>
            </w:pPr>
          </w:p>
        </w:tc>
      </w:tr>
    </w:tbl>
    <w:p w14:paraId="5E74F40B" w14:textId="055210F1" w:rsidR="006D0D6A" w:rsidRPr="00A90AA3" w:rsidRDefault="006D0D6A" w:rsidP="002579EB">
      <w:pPr>
        <w:pStyle w:val="NoSpacing"/>
      </w:pPr>
    </w:p>
    <w:p w14:paraId="612F12CE" w14:textId="77777777" w:rsidR="006066A0" w:rsidRPr="00A90AA3" w:rsidRDefault="006066A0" w:rsidP="006066A0">
      <w:pPr>
        <w:pStyle w:val="NoSpacing"/>
      </w:pPr>
      <w:r>
        <w:t>Designation:</w:t>
      </w:r>
      <w:r>
        <w:tab/>
        <w:t>Chief Executive</w:t>
      </w:r>
    </w:p>
    <w:p w14:paraId="65F146DE" w14:textId="77777777" w:rsidR="006066A0" w:rsidRPr="00A90AA3" w:rsidRDefault="006066A0" w:rsidP="006066A0">
      <w:pPr>
        <w:pStyle w:val="NoSpacing"/>
      </w:pPr>
    </w:p>
    <w:p w14:paraId="7438B146" w14:textId="1560CC45" w:rsidR="006066A0" w:rsidRDefault="006066A0" w:rsidP="006066A0">
      <w:pPr>
        <w:pStyle w:val="NoSpacing"/>
      </w:pPr>
      <w:r>
        <w:t>Date:</w:t>
      </w:r>
      <w:r>
        <w:tab/>
      </w:r>
      <w:r>
        <w:tab/>
      </w:r>
      <w:r w:rsidR="0014501A">
        <w:t>22 November 2023</w:t>
      </w:r>
    </w:p>
    <w:p w14:paraId="7E3D418F" w14:textId="0F090E01" w:rsidR="004757B4" w:rsidRDefault="004757B4" w:rsidP="006066A0">
      <w:pPr>
        <w:pStyle w:val="NoSpacing"/>
      </w:pPr>
    </w:p>
    <w:p w14:paraId="696AE400" w14:textId="27998177" w:rsidR="004757B4" w:rsidRDefault="004757B4" w:rsidP="00F8303F">
      <w:pPr>
        <w:pStyle w:val="NoSpacing"/>
      </w:pPr>
      <w:r>
        <w:t>Authors:</w:t>
      </w:r>
      <w:r>
        <w:tab/>
      </w:r>
      <w:r w:rsidR="007247DE">
        <w:t xml:space="preserve">Morven MacLeod, </w:t>
      </w:r>
      <w:r w:rsidR="005B1556">
        <w:t>Head of HR</w:t>
      </w:r>
    </w:p>
    <w:p w14:paraId="26F3AF1B" w14:textId="6D916F94" w:rsidR="005D68D0" w:rsidRDefault="005D68D0">
      <w:pPr>
        <w:rPr>
          <w:rFonts w:ascii="Arial" w:eastAsiaTheme="minorHAnsi" w:hAnsi="Arial" w:cs="Arial"/>
          <w:szCs w:val="24"/>
          <w:lang w:eastAsia="en-US"/>
        </w:rPr>
      </w:pPr>
      <w:r>
        <w:br w:type="page"/>
      </w:r>
    </w:p>
    <w:p w14:paraId="5E1B618D" w14:textId="00EA2346" w:rsidR="004B7F43" w:rsidRPr="009201D8" w:rsidRDefault="004B7F43" w:rsidP="009201D8">
      <w:pPr>
        <w:jc w:val="right"/>
        <w:rPr>
          <w:rFonts w:ascii="Arial" w:hAnsi="Arial" w:cs="Arial"/>
          <w:b/>
          <w:szCs w:val="24"/>
        </w:rPr>
      </w:pPr>
      <w:r w:rsidRPr="009201D8">
        <w:rPr>
          <w:rFonts w:ascii="Arial" w:hAnsi="Arial" w:cs="Arial"/>
          <w:b/>
          <w:szCs w:val="24"/>
        </w:rPr>
        <w:lastRenderedPageBreak/>
        <w:t>Appendix A</w:t>
      </w:r>
    </w:p>
    <w:p w14:paraId="5B7A5761" w14:textId="77777777" w:rsidR="004B7F43" w:rsidRPr="004B7F43" w:rsidRDefault="004B7F43" w:rsidP="004B7F43">
      <w:pPr>
        <w:pStyle w:val="NoSpacing"/>
      </w:pPr>
    </w:p>
    <w:p w14:paraId="7F77196C" w14:textId="76E4899C" w:rsidR="004B7F43" w:rsidRPr="00235928" w:rsidRDefault="004B7F43" w:rsidP="004B7F43">
      <w:pPr>
        <w:pStyle w:val="NoSpacing"/>
        <w:rPr>
          <w:b/>
          <w:sz w:val="20"/>
          <w:szCs w:val="20"/>
        </w:rPr>
      </w:pPr>
      <w:r w:rsidRPr="00235928">
        <w:rPr>
          <w:b/>
          <w:sz w:val="20"/>
          <w:szCs w:val="20"/>
        </w:rPr>
        <w:t xml:space="preserve">CHANGES TO STAFFING ESTABLISHMENT IN </w:t>
      </w:r>
      <w:r w:rsidR="00235928">
        <w:rPr>
          <w:b/>
          <w:sz w:val="20"/>
          <w:szCs w:val="20"/>
        </w:rPr>
        <w:t>Q</w:t>
      </w:r>
      <w:r w:rsidR="00370D44">
        <w:rPr>
          <w:b/>
          <w:sz w:val="20"/>
          <w:szCs w:val="20"/>
        </w:rPr>
        <w:t>2</w:t>
      </w:r>
      <w:r w:rsidR="00235928">
        <w:rPr>
          <w:b/>
          <w:sz w:val="20"/>
          <w:szCs w:val="20"/>
        </w:rPr>
        <w:t xml:space="preserve"> (</w:t>
      </w:r>
      <w:r w:rsidR="00370D44">
        <w:rPr>
          <w:b/>
          <w:sz w:val="20"/>
          <w:szCs w:val="20"/>
        </w:rPr>
        <w:t>July - September</w:t>
      </w:r>
      <w:r w:rsidR="00235928">
        <w:rPr>
          <w:b/>
          <w:sz w:val="20"/>
          <w:szCs w:val="20"/>
        </w:rPr>
        <w:t xml:space="preserve"> 2023)</w:t>
      </w:r>
    </w:p>
    <w:p w14:paraId="2F0D9D1D" w14:textId="38513C46" w:rsidR="009F421A" w:rsidRDefault="009F421A" w:rsidP="004B7F43">
      <w:pPr>
        <w:pStyle w:val="NoSpacing"/>
        <w:rPr>
          <w:b/>
        </w:rPr>
      </w:pPr>
    </w:p>
    <w:tbl>
      <w:tblPr>
        <w:tblStyle w:val="TableGrid"/>
        <w:tblW w:w="10633" w:type="dxa"/>
        <w:tblInd w:w="-431" w:type="dxa"/>
        <w:tblLook w:val="04A0" w:firstRow="1" w:lastRow="0" w:firstColumn="1" w:lastColumn="0" w:noHBand="0" w:noVBand="1"/>
      </w:tblPr>
      <w:tblGrid>
        <w:gridCol w:w="3403"/>
        <w:gridCol w:w="2835"/>
        <w:gridCol w:w="829"/>
        <w:gridCol w:w="3566"/>
      </w:tblGrid>
      <w:tr w:rsidR="00DF3993" w:rsidRPr="004B7F43" w14:paraId="2F3258F9" w14:textId="77777777" w:rsidTr="00F94B3B">
        <w:trPr>
          <w:trHeight w:val="300"/>
        </w:trPr>
        <w:tc>
          <w:tcPr>
            <w:tcW w:w="3403" w:type="dxa"/>
            <w:noWrap/>
            <w:hideMark/>
          </w:tcPr>
          <w:p w14:paraId="0B330935" w14:textId="77777777" w:rsidR="009F421A" w:rsidRPr="00235928" w:rsidRDefault="009F421A" w:rsidP="000F6E70">
            <w:pPr>
              <w:pStyle w:val="NoSpacing"/>
              <w:jc w:val="center"/>
              <w:rPr>
                <w:b/>
                <w:bCs/>
                <w:sz w:val="20"/>
                <w:szCs w:val="20"/>
              </w:rPr>
            </w:pPr>
            <w:r w:rsidRPr="00235928">
              <w:rPr>
                <w:b/>
                <w:bCs/>
                <w:sz w:val="20"/>
                <w:szCs w:val="20"/>
              </w:rPr>
              <w:t>Post Title</w:t>
            </w:r>
          </w:p>
        </w:tc>
        <w:tc>
          <w:tcPr>
            <w:tcW w:w="2835" w:type="dxa"/>
            <w:noWrap/>
            <w:hideMark/>
          </w:tcPr>
          <w:p w14:paraId="3FF4FD36" w14:textId="77777777" w:rsidR="009F421A" w:rsidRPr="00235928" w:rsidRDefault="009F421A" w:rsidP="000F6E70">
            <w:pPr>
              <w:pStyle w:val="NoSpacing"/>
              <w:jc w:val="center"/>
              <w:rPr>
                <w:b/>
                <w:bCs/>
                <w:sz w:val="20"/>
                <w:szCs w:val="20"/>
              </w:rPr>
            </w:pPr>
            <w:r w:rsidRPr="00235928">
              <w:rPr>
                <w:b/>
                <w:bCs/>
                <w:sz w:val="20"/>
                <w:szCs w:val="20"/>
              </w:rPr>
              <w:t>Location</w:t>
            </w:r>
          </w:p>
        </w:tc>
        <w:tc>
          <w:tcPr>
            <w:tcW w:w="829" w:type="dxa"/>
            <w:noWrap/>
            <w:hideMark/>
          </w:tcPr>
          <w:p w14:paraId="34A2DAFB" w14:textId="77777777" w:rsidR="009F421A" w:rsidRPr="00235928" w:rsidRDefault="009F421A" w:rsidP="000F6E70">
            <w:pPr>
              <w:pStyle w:val="NoSpacing"/>
              <w:jc w:val="center"/>
              <w:rPr>
                <w:b/>
                <w:bCs/>
                <w:sz w:val="20"/>
                <w:szCs w:val="20"/>
              </w:rPr>
            </w:pPr>
            <w:r w:rsidRPr="00235928">
              <w:rPr>
                <w:b/>
                <w:bCs/>
                <w:sz w:val="20"/>
                <w:szCs w:val="20"/>
              </w:rPr>
              <w:t>FTE</w:t>
            </w:r>
          </w:p>
        </w:tc>
        <w:tc>
          <w:tcPr>
            <w:tcW w:w="3566" w:type="dxa"/>
            <w:noWrap/>
            <w:hideMark/>
          </w:tcPr>
          <w:p w14:paraId="66B7AB45" w14:textId="77777777" w:rsidR="009F421A" w:rsidRPr="00235928" w:rsidRDefault="009F421A" w:rsidP="00DF3993">
            <w:pPr>
              <w:pStyle w:val="NoSpacing"/>
              <w:ind w:right="1214"/>
              <w:jc w:val="center"/>
              <w:rPr>
                <w:b/>
                <w:bCs/>
                <w:sz w:val="20"/>
                <w:szCs w:val="20"/>
              </w:rPr>
            </w:pPr>
            <w:r w:rsidRPr="00235928">
              <w:rPr>
                <w:b/>
                <w:bCs/>
                <w:sz w:val="20"/>
                <w:szCs w:val="20"/>
              </w:rPr>
              <w:t>Additional comments</w:t>
            </w:r>
          </w:p>
        </w:tc>
      </w:tr>
      <w:tr w:rsidR="002069A5" w:rsidRPr="00DF3993" w14:paraId="0B577829" w14:textId="77777777" w:rsidTr="00F94B3B">
        <w:trPr>
          <w:trHeight w:val="300"/>
        </w:trPr>
        <w:tc>
          <w:tcPr>
            <w:tcW w:w="3403" w:type="dxa"/>
            <w:noWrap/>
            <w:vAlign w:val="center"/>
          </w:tcPr>
          <w:p w14:paraId="21A09097" w14:textId="7B345EAE" w:rsidR="002069A5" w:rsidRPr="00823613" w:rsidRDefault="00457EA1" w:rsidP="002069A5">
            <w:pPr>
              <w:rPr>
                <w:rFonts w:ascii="Arial" w:hAnsi="Arial" w:cs="Arial"/>
                <w:color w:val="000000"/>
                <w:sz w:val="20"/>
              </w:rPr>
            </w:pPr>
            <w:r>
              <w:rPr>
                <w:rFonts w:ascii="Arial" w:hAnsi="Arial" w:cs="Arial"/>
                <w:color w:val="000000"/>
                <w:sz w:val="20"/>
              </w:rPr>
              <w:t>Coaching Assistant</w:t>
            </w:r>
          </w:p>
        </w:tc>
        <w:tc>
          <w:tcPr>
            <w:tcW w:w="2835" w:type="dxa"/>
            <w:noWrap/>
            <w:vAlign w:val="center"/>
          </w:tcPr>
          <w:p w14:paraId="27D7C766" w14:textId="573CBB61" w:rsidR="002069A5" w:rsidRPr="00823613" w:rsidRDefault="002069A5" w:rsidP="002069A5">
            <w:pPr>
              <w:rPr>
                <w:rFonts w:ascii="Arial" w:hAnsi="Arial" w:cs="Arial"/>
                <w:color w:val="000000"/>
                <w:sz w:val="20"/>
              </w:rPr>
            </w:pPr>
            <w:r w:rsidRPr="00F315BE">
              <w:rPr>
                <w:rFonts w:ascii="Arial" w:hAnsi="Arial" w:cs="Arial"/>
                <w:color w:val="000000"/>
                <w:sz w:val="20"/>
              </w:rPr>
              <w:t>Inverness</w:t>
            </w:r>
          </w:p>
        </w:tc>
        <w:tc>
          <w:tcPr>
            <w:tcW w:w="829" w:type="dxa"/>
            <w:noWrap/>
          </w:tcPr>
          <w:p w14:paraId="1C096607" w14:textId="0E90525E" w:rsidR="002069A5" w:rsidRPr="00823613" w:rsidRDefault="00457EA1" w:rsidP="002069A5">
            <w:pPr>
              <w:jc w:val="center"/>
              <w:rPr>
                <w:rFonts w:ascii="Arial" w:hAnsi="Arial" w:cs="Arial"/>
                <w:color w:val="000000"/>
                <w:sz w:val="20"/>
              </w:rPr>
            </w:pPr>
            <w:r>
              <w:rPr>
                <w:rFonts w:ascii="Arial" w:hAnsi="Arial" w:cs="Arial"/>
                <w:color w:val="000000"/>
                <w:sz w:val="20"/>
              </w:rPr>
              <w:t>0.82</w:t>
            </w:r>
          </w:p>
        </w:tc>
        <w:tc>
          <w:tcPr>
            <w:tcW w:w="3566" w:type="dxa"/>
            <w:noWrap/>
          </w:tcPr>
          <w:p w14:paraId="2F9BE972" w14:textId="675B8090" w:rsidR="002069A5" w:rsidRPr="00823613" w:rsidRDefault="002069A5" w:rsidP="002069A5">
            <w:pPr>
              <w:rPr>
                <w:rFonts w:ascii="Arial" w:hAnsi="Arial" w:cs="Arial"/>
                <w:color w:val="000000"/>
                <w:sz w:val="20"/>
              </w:rPr>
            </w:pPr>
          </w:p>
        </w:tc>
      </w:tr>
      <w:tr w:rsidR="002069A5" w:rsidRPr="00DF3993" w14:paraId="794D5C76" w14:textId="77777777" w:rsidTr="00F94B3B">
        <w:trPr>
          <w:trHeight w:val="300"/>
        </w:trPr>
        <w:tc>
          <w:tcPr>
            <w:tcW w:w="3403" w:type="dxa"/>
            <w:noWrap/>
            <w:vAlign w:val="center"/>
          </w:tcPr>
          <w:p w14:paraId="459D31CF" w14:textId="26AF0458" w:rsidR="002069A5" w:rsidRPr="00823613" w:rsidRDefault="00457EA1" w:rsidP="002069A5">
            <w:pPr>
              <w:rPr>
                <w:rFonts w:ascii="Arial" w:hAnsi="Arial" w:cs="Arial"/>
                <w:color w:val="000000"/>
                <w:sz w:val="20"/>
              </w:rPr>
            </w:pPr>
            <w:r>
              <w:rPr>
                <w:rFonts w:ascii="Arial" w:hAnsi="Arial" w:cs="Arial"/>
                <w:color w:val="000000"/>
                <w:sz w:val="20"/>
              </w:rPr>
              <w:t>Catering Assistant</w:t>
            </w:r>
          </w:p>
        </w:tc>
        <w:tc>
          <w:tcPr>
            <w:tcW w:w="2835" w:type="dxa"/>
            <w:noWrap/>
            <w:vAlign w:val="center"/>
          </w:tcPr>
          <w:p w14:paraId="3A8CB57B" w14:textId="2346586C" w:rsidR="002069A5" w:rsidRPr="00823613" w:rsidRDefault="002069A5" w:rsidP="002069A5">
            <w:pPr>
              <w:rPr>
                <w:rFonts w:ascii="Arial" w:hAnsi="Arial" w:cs="Arial"/>
                <w:color w:val="000000"/>
                <w:sz w:val="20"/>
              </w:rPr>
            </w:pPr>
            <w:r w:rsidRPr="00F315BE">
              <w:rPr>
                <w:rFonts w:ascii="Arial" w:hAnsi="Arial" w:cs="Arial"/>
                <w:color w:val="000000"/>
                <w:sz w:val="20"/>
              </w:rPr>
              <w:t xml:space="preserve">Inverness </w:t>
            </w:r>
          </w:p>
        </w:tc>
        <w:tc>
          <w:tcPr>
            <w:tcW w:w="829" w:type="dxa"/>
            <w:noWrap/>
          </w:tcPr>
          <w:p w14:paraId="3FCEC981" w14:textId="05B62DA7" w:rsidR="002069A5" w:rsidRPr="00823613" w:rsidRDefault="00714C83" w:rsidP="002069A5">
            <w:pPr>
              <w:jc w:val="center"/>
              <w:rPr>
                <w:rFonts w:ascii="Arial" w:hAnsi="Arial" w:cs="Arial"/>
                <w:color w:val="000000"/>
                <w:sz w:val="20"/>
              </w:rPr>
            </w:pPr>
            <w:r>
              <w:rPr>
                <w:rFonts w:ascii="Arial" w:hAnsi="Arial" w:cs="Arial"/>
                <w:color w:val="000000"/>
                <w:sz w:val="20"/>
              </w:rPr>
              <w:t>-</w:t>
            </w:r>
            <w:r w:rsidR="002069A5" w:rsidRPr="00823613">
              <w:rPr>
                <w:rFonts w:ascii="Arial" w:hAnsi="Arial" w:cs="Arial"/>
                <w:color w:val="000000"/>
                <w:sz w:val="20"/>
              </w:rPr>
              <w:t>0.</w:t>
            </w:r>
            <w:r w:rsidR="00457EA1">
              <w:rPr>
                <w:rFonts w:ascii="Arial" w:hAnsi="Arial" w:cs="Arial"/>
                <w:color w:val="000000"/>
                <w:sz w:val="20"/>
              </w:rPr>
              <w:t>82</w:t>
            </w:r>
          </w:p>
        </w:tc>
        <w:tc>
          <w:tcPr>
            <w:tcW w:w="3566" w:type="dxa"/>
            <w:noWrap/>
          </w:tcPr>
          <w:p w14:paraId="7B154036" w14:textId="3C600754" w:rsidR="002069A5" w:rsidRPr="00823613" w:rsidRDefault="002069A5" w:rsidP="002069A5">
            <w:pPr>
              <w:rPr>
                <w:rFonts w:ascii="Arial" w:hAnsi="Arial" w:cs="Arial"/>
                <w:color w:val="000000"/>
                <w:sz w:val="20"/>
              </w:rPr>
            </w:pPr>
          </w:p>
        </w:tc>
      </w:tr>
      <w:tr w:rsidR="002069A5" w:rsidRPr="00DF3993" w14:paraId="401A2490" w14:textId="77777777" w:rsidTr="00F94B3B">
        <w:trPr>
          <w:trHeight w:val="300"/>
        </w:trPr>
        <w:tc>
          <w:tcPr>
            <w:tcW w:w="3403" w:type="dxa"/>
            <w:noWrap/>
            <w:vAlign w:val="center"/>
          </w:tcPr>
          <w:p w14:paraId="02230FED" w14:textId="152DF124" w:rsidR="002069A5" w:rsidRPr="00823613" w:rsidRDefault="002069A5" w:rsidP="002069A5">
            <w:pPr>
              <w:rPr>
                <w:rFonts w:ascii="Arial" w:hAnsi="Arial" w:cs="Arial"/>
                <w:color w:val="000000"/>
                <w:sz w:val="20"/>
              </w:rPr>
            </w:pPr>
            <w:r w:rsidRPr="00F315BE">
              <w:rPr>
                <w:rFonts w:ascii="Arial" w:hAnsi="Arial" w:cs="Arial"/>
                <w:color w:val="000000"/>
                <w:sz w:val="20"/>
              </w:rPr>
              <w:t>Youth Support Officer</w:t>
            </w:r>
          </w:p>
        </w:tc>
        <w:tc>
          <w:tcPr>
            <w:tcW w:w="2835" w:type="dxa"/>
            <w:noWrap/>
            <w:vAlign w:val="center"/>
          </w:tcPr>
          <w:p w14:paraId="1626B90A" w14:textId="24001E06" w:rsidR="002069A5" w:rsidRPr="00823613" w:rsidRDefault="00176477" w:rsidP="002069A5">
            <w:pPr>
              <w:rPr>
                <w:rFonts w:ascii="Arial" w:hAnsi="Arial" w:cs="Arial"/>
                <w:color w:val="000000"/>
                <w:sz w:val="20"/>
              </w:rPr>
            </w:pPr>
            <w:r>
              <w:rPr>
                <w:rFonts w:ascii="Arial" w:hAnsi="Arial" w:cs="Arial"/>
                <w:color w:val="000000"/>
                <w:sz w:val="20"/>
              </w:rPr>
              <w:t>Dornoch</w:t>
            </w:r>
          </w:p>
        </w:tc>
        <w:tc>
          <w:tcPr>
            <w:tcW w:w="829" w:type="dxa"/>
            <w:noWrap/>
          </w:tcPr>
          <w:p w14:paraId="661A105B" w14:textId="122C74F0" w:rsidR="002069A5" w:rsidRPr="00823613" w:rsidRDefault="00714C83" w:rsidP="002069A5">
            <w:pPr>
              <w:jc w:val="center"/>
              <w:rPr>
                <w:rFonts w:ascii="Arial" w:hAnsi="Arial" w:cs="Arial"/>
                <w:color w:val="000000"/>
                <w:sz w:val="20"/>
              </w:rPr>
            </w:pPr>
            <w:r>
              <w:rPr>
                <w:rFonts w:ascii="Arial" w:hAnsi="Arial" w:cs="Arial"/>
                <w:color w:val="000000"/>
                <w:sz w:val="20"/>
              </w:rPr>
              <w:t>-0.4</w:t>
            </w:r>
          </w:p>
        </w:tc>
        <w:tc>
          <w:tcPr>
            <w:tcW w:w="3566" w:type="dxa"/>
            <w:noWrap/>
          </w:tcPr>
          <w:p w14:paraId="10F2725D" w14:textId="7538CFF0" w:rsidR="002069A5" w:rsidRPr="00823613" w:rsidRDefault="002069A5" w:rsidP="002069A5">
            <w:pPr>
              <w:rPr>
                <w:rFonts w:ascii="Arial" w:hAnsi="Arial" w:cs="Arial"/>
                <w:color w:val="000000"/>
                <w:sz w:val="20"/>
              </w:rPr>
            </w:pPr>
          </w:p>
        </w:tc>
      </w:tr>
      <w:tr w:rsidR="00176477" w:rsidRPr="00DF3993" w14:paraId="3C0A8FD4" w14:textId="77777777" w:rsidTr="00F94B3B">
        <w:trPr>
          <w:trHeight w:val="300"/>
        </w:trPr>
        <w:tc>
          <w:tcPr>
            <w:tcW w:w="3403" w:type="dxa"/>
            <w:noWrap/>
            <w:vAlign w:val="center"/>
          </w:tcPr>
          <w:p w14:paraId="29F62DFA" w14:textId="28BDF47E" w:rsidR="00176477" w:rsidRPr="00F315BE" w:rsidRDefault="00176477" w:rsidP="002069A5">
            <w:pPr>
              <w:rPr>
                <w:rFonts w:ascii="Arial" w:hAnsi="Arial" w:cs="Arial"/>
                <w:color w:val="000000"/>
                <w:sz w:val="20"/>
              </w:rPr>
            </w:pPr>
            <w:r>
              <w:rPr>
                <w:rFonts w:ascii="Arial" w:hAnsi="Arial" w:cs="Arial"/>
                <w:color w:val="000000"/>
                <w:sz w:val="20"/>
              </w:rPr>
              <w:t>Youth Support Officer</w:t>
            </w:r>
          </w:p>
        </w:tc>
        <w:tc>
          <w:tcPr>
            <w:tcW w:w="2835" w:type="dxa"/>
            <w:noWrap/>
            <w:vAlign w:val="center"/>
          </w:tcPr>
          <w:p w14:paraId="644EA23D" w14:textId="0B3D5E1F" w:rsidR="00176477" w:rsidRPr="00F315BE" w:rsidRDefault="00176477" w:rsidP="002069A5">
            <w:pPr>
              <w:rPr>
                <w:rFonts w:ascii="Arial" w:hAnsi="Arial" w:cs="Arial"/>
                <w:color w:val="000000"/>
                <w:sz w:val="20"/>
              </w:rPr>
            </w:pPr>
            <w:r>
              <w:rPr>
                <w:rFonts w:ascii="Arial" w:hAnsi="Arial" w:cs="Arial"/>
                <w:color w:val="000000"/>
                <w:sz w:val="20"/>
              </w:rPr>
              <w:t>Kinlochbervie</w:t>
            </w:r>
          </w:p>
        </w:tc>
        <w:tc>
          <w:tcPr>
            <w:tcW w:w="829" w:type="dxa"/>
            <w:noWrap/>
          </w:tcPr>
          <w:p w14:paraId="37B2F6DF" w14:textId="4C3054FA" w:rsidR="00176477" w:rsidRPr="00823613" w:rsidRDefault="00714C83" w:rsidP="002069A5">
            <w:pPr>
              <w:jc w:val="center"/>
              <w:rPr>
                <w:rFonts w:ascii="Arial" w:hAnsi="Arial" w:cs="Arial"/>
                <w:color w:val="000000"/>
                <w:sz w:val="20"/>
              </w:rPr>
            </w:pPr>
            <w:r>
              <w:rPr>
                <w:rFonts w:ascii="Arial" w:hAnsi="Arial" w:cs="Arial"/>
                <w:color w:val="000000"/>
                <w:sz w:val="20"/>
              </w:rPr>
              <w:t>-0.5</w:t>
            </w:r>
          </w:p>
        </w:tc>
        <w:tc>
          <w:tcPr>
            <w:tcW w:w="3566" w:type="dxa"/>
            <w:noWrap/>
          </w:tcPr>
          <w:p w14:paraId="67B59463" w14:textId="77777777" w:rsidR="00176477" w:rsidRPr="00823613" w:rsidRDefault="00176477" w:rsidP="002069A5">
            <w:pPr>
              <w:rPr>
                <w:rFonts w:ascii="Arial" w:hAnsi="Arial" w:cs="Arial"/>
                <w:color w:val="000000"/>
                <w:sz w:val="20"/>
              </w:rPr>
            </w:pPr>
          </w:p>
        </w:tc>
      </w:tr>
      <w:tr w:rsidR="002069A5" w:rsidRPr="00DF3993" w14:paraId="2333E32E" w14:textId="77777777" w:rsidTr="00F94B3B">
        <w:trPr>
          <w:trHeight w:val="300"/>
        </w:trPr>
        <w:tc>
          <w:tcPr>
            <w:tcW w:w="3403" w:type="dxa"/>
            <w:noWrap/>
          </w:tcPr>
          <w:p w14:paraId="0CCF4B02" w14:textId="2975FFDF" w:rsidR="002069A5" w:rsidRPr="00823613" w:rsidRDefault="00C73C57" w:rsidP="002069A5">
            <w:pPr>
              <w:rPr>
                <w:rFonts w:ascii="Arial" w:hAnsi="Arial" w:cs="Arial"/>
                <w:color w:val="000000"/>
                <w:sz w:val="20"/>
              </w:rPr>
            </w:pPr>
            <w:r>
              <w:rPr>
                <w:rFonts w:ascii="Arial" w:hAnsi="Arial" w:cs="Arial"/>
                <w:color w:val="000000"/>
                <w:sz w:val="20"/>
              </w:rPr>
              <w:t>Activities Coach</w:t>
            </w:r>
          </w:p>
        </w:tc>
        <w:tc>
          <w:tcPr>
            <w:tcW w:w="2835" w:type="dxa"/>
            <w:noWrap/>
          </w:tcPr>
          <w:p w14:paraId="077D5529" w14:textId="52B42355" w:rsidR="002069A5" w:rsidRPr="00823613" w:rsidRDefault="00C73C57" w:rsidP="002069A5">
            <w:pPr>
              <w:rPr>
                <w:rFonts w:ascii="Arial" w:hAnsi="Arial" w:cs="Arial"/>
                <w:color w:val="000000"/>
                <w:sz w:val="20"/>
              </w:rPr>
            </w:pPr>
            <w:r>
              <w:rPr>
                <w:rFonts w:ascii="Arial" w:hAnsi="Arial" w:cs="Arial"/>
                <w:color w:val="000000"/>
                <w:sz w:val="20"/>
              </w:rPr>
              <w:t>Strathdearn</w:t>
            </w:r>
          </w:p>
        </w:tc>
        <w:tc>
          <w:tcPr>
            <w:tcW w:w="829" w:type="dxa"/>
            <w:noWrap/>
          </w:tcPr>
          <w:p w14:paraId="6E38B9AB" w14:textId="49A2B8BB" w:rsidR="002069A5" w:rsidRPr="00823613" w:rsidRDefault="00C73C57" w:rsidP="002069A5">
            <w:pPr>
              <w:jc w:val="center"/>
              <w:rPr>
                <w:rFonts w:ascii="Arial" w:hAnsi="Arial" w:cs="Arial"/>
                <w:color w:val="000000"/>
                <w:sz w:val="20"/>
              </w:rPr>
            </w:pPr>
            <w:r>
              <w:rPr>
                <w:rFonts w:ascii="Arial" w:hAnsi="Arial" w:cs="Arial"/>
                <w:color w:val="000000"/>
                <w:sz w:val="20"/>
              </w:rPr>
              <w:t>0.14</w:t>
            </w:r>
          </w:p>
        </w:tc>
        <w:tc>
          <w:tcPr>
            <w:tcW w:w="3566" w:type="dxa"/>
            <w:noWrap/>
          </w:tcPr>
          <w:p w14:paraId="1137C2AB" w14:textId="77777777" w:rsidR="002069A5" w:rsidRPr="00823613" w:rsidRDefault="002069A5" w:rsidP="002069A5">
            <w:pPr>
              <w:rPr>
                <w:rFonts w:ascii="Arial" w:hAnsi="Arial" w:cs="Arial"/>
                <w:color w:val="000000"/>
                <w:sz w:val="20"/>
              </w:rPr>
            </w:pPr>
          </w:p>
        </w:tc>
      </w:tr>
      <w:tr w:rsidR="002069A5" w:rsidRPr="00DF3993" w14:paraId="306C8890" w14:textId="77777777" w:rsidTr="00F94B3B">
        <w:trPr>
          <w:trHeight w:val="300"/>
        </w:trPr>
        <w:tc>
          <w:tcPr>
            <w:tcW w:w="3403" w:type="dxa"/>
            <w:noWrap/>
          </w:tcPr>
          <w:p w14:paraId="3A617EEE" w14:textId="0983DED2" w:rsidR="002069A5" w:rsidRPr="00823613" w:rsidRDefault="001C1D56" w:rsidP="002069A5">
            <w:pPr>
              <w:rPr>
                <w:rFonts w:ascii="Arial" w:hAnsi="Arial" w:cs="Arial"/>
                <w:color w:val="000000"/>
                <w:sz w:val="20"/>
              </w:rPr>
            </w:pPr>
            <w:bookmarkStart w:id="8" w:name="_Hlk135924538"/>
            <w:r>
              <w:rPr>
                <w:rFonts w:ascii="Arial" w:hAnsi="Arial" w:cs="Arial"/>
                <w:color w:val="000000"/>
                <w:sz w:val="20"/>
              </w:rPr>
              <w:t>Adult Learning Co-ordinator</w:t>
            </w:r>
          </w:p>
        </w:tc>
        <w:tc>
          <w:tcPr>
            <w:tcW w:w="2835" w:type="dxa"/>
            <w:noWrap/>
          </w:tcPr>
          <w:p w14:paraId="494F56AA" w14:textId="51E6B413" w:rsidR="002069A5" w:rsidRPr="00823613" w:rsidRDefault="008301A9" w:rsidP="002069A5">
            <w:pPr>
              <w:rPr>
                <w:rFonts w:ascii="Arial" w:hAnsi="Arial" w:cs="Arial"/>
                <w:color w:val="000000"/>
                <w:sz w:val="20"/>
              </w:rPr>
            </w:pPr>
            <w:r w:rsidRPr="00823613">
              <w:rPr>
                <w:rFonts w:ascii="Arial" w:hAnsi="Arial" w:cs="Arial"/>
                <w:color w:val="000000"/>
                <w:sz w:val="20"/>
              </w:rPr>
              <w:t>Inverness</w:t>
            </w:r>
          </w:p>
        </w:tc>
        <w:tc>
          <w:tcPr>
            <w:tcW w:w="829" w:type="dxa"/>
            <w:noWrap/>
          </w:tcPr>
          <w:p w14:paraId="03BC884F" w14:textId="453644BE" w:rsidR="002069A5" w:rsidRPr="00823613" w:rsidRDefault="001C1D56" w:rsidP="002069A5">
            <w:pPr>
              <w:jc w:val="center"/>
              <w:rPr>
                <w:rFonts w:ascii="Arial" w:hAnsi="Arial" w:cs="Arial"/>
                <w:color w:val="000000"/>
                <w:sz w:val="20"/>
              </w:rPr>
            </w:pPr>
            <w:r>
              <w:rPr>
                <w:rFonts w:ascii="Arial" w:hAnsi="Arial" w:cs="Arial"/>
                <w:color w:val="000000"/>
                <w:sz w:val="20"/>
              </w:rPr>
              <w:t>0.4</w:t>
            </w:r>
          </w:p>
        </w:tc>
        <w:tc>
          <w:tcPr>
            <w:tcW w:w="3566" w:type="dxa"/>
            <w:noWrap/>
          </w:tcPr>
          <w:p w14:paraId="72C5FC4A" w14:textId="6CC8CBFD" w:rsidR="002069A5" w:rsidRPr="00823613" w:rsidRDefault="0074330D" w:rsidP="002069A5">
            <w:pPr>
              <w:rPr>
                <w:rFonts w:ascii="Arial" w:hAnsi="Arial" w:cs="Arial"/>
                <w:color w:val="000000"/>
                <w:sz w:val="20"/>
              </w:rPr>
            </w:pPr>
            <w:r w:rsidRPr="00823613">
              <w:rPr>
                <w:rFonts w:ascii="Arial" w:hAnsi="Arial" w:cs="Arial"/>
                <w:color w:val="000000"/>
                <w:sz w:val="20"/>
              </w:rPr>
              <w:t xml:space="preserve">Fixed term </w:t>
            </w:r>
            <w:r w:rsidR="001C1D56">
              <w:rPr>
                <w:rFonts w:ascii="Arial" w:hAnsi="Arial" w:cs="Arial"/>
                <w:color w:val="000000"/>
                <w:sz w:val="20"/>
              </w:rPr>
              <w:t>until 31.3.24</w:t>
            </w:r>
          </w:p>
        </w:tc>
      </w:tr>
      <w:bookmarkEnd w:id="8"/>
      <w:tr w:rsidR="001C1D56" w:rsidRPr="00DF3993" w14:paraId="23EA3F4E" w14:textId="77777777" w:rsidTr="00F94B3B">
        <w:trPr>
          <w:trHeight w:val="300"/>
        </w:trPr>
        <w:tc>
          <w:tcPr>
            <w:tcW w:w="3403" w:type="dxa"/>
            <w:noWrap/>
          </w:tcPr>
          <w:p w14:paraId="61174844" w14:textId="6E2EB44F" w:rsidR="001C1D56" w:rsidRPr="00823613" w:rsidRDefault="001C1D56" w:rsidP="001C1D56">
            <w:pPr>
              <w:rPr>
                <w:rFonts w:ascii="Arial" w:hAnsi="Arial" w:cs="Arial"/>
                <w:color w:val="000000"/>
                <w:sz w:val="20"/>
              </w:rPr>
            </w:pPr>
            <w:r>
              <w:rPr>
                <w:rFonts w:ascii="Arial" w:hAnsi="Arial" w:cs="Arial"/>
                <w:color w:val="000000"/>
                <w:sz w:val="20"/>
              </w:rPr>
              <w:t>Adult Learning Co-ordinator</w:t>
            </w:r>
          </w:p>
        </w:tc>
        <w:tc>
          <w:tcPr>
            <w:tcW w:w="2835" w:type="dxa"/>
            <w:noWrap/>
          </w:tcPr>
          <w:p w14:paraId="553C322B" w14:textId="6075771E" w:rsidR="001C1D56" w:rsidRPr="00823613" w:rsidRDefault="001C1D56" w:rsidP="001C1D56">
            <w:pPr>
              <w:rPr>
                <w:rFonts w:ascii="Arial" w:hAnsi="Arial" w:cs="Arial"/>
                <w:color w:val="000000"/>
                <w:sz w:val="20"/>
              </w:rPr>
            </w:pPr>
            <w:r>
              <w:rPr>
                <w:rFonts w:ascii="Arial" w:hAnsi="Arial" w:cs="Arial"/>
                <w:color w:val="000000"/>
                <w:sz w:val="20"/>
              </w:rPr>
              <w:t>East Ross</w:t>
            </w:r>
          </w:p>
        </w:tc>
        <w:tc>
          <w:tcPr>
            <w:tcW w:w="829" w:type="dxa"/>
            <w:noWrap/>
          </w:tcPr>
          <w:p w14:paraId="015D70D2" w14:textId="0462AB3B" w:rsidR="001C1D56" w:rsidRPr="00823613" w:rsidRDefault="001C1D56" w:rsidP="001C1D56">
            <w:pPr>
              <w:jc w:val="center"/>
              <w:rPr>
                <w:rFonts w:ascii="Arial" w:hAnsi="Arial" w:cs="Arial"/>
                <w:color w:val="000000"/>
                <w:sz w:val="20"/>
              </w:rPr>
            </w:pPr>
            <w:r>
              <w:rPr>
                <w:rFonts w:ascii="Arial" w:hAnsi="Arial" w:cs="Arial"/>
                <w:color w:val="000000"/>
                <w:sz w:val="20"/>
              </w:rPr>
              <w:t>0.2</w:t>
            </w:r>
          </w:p>
        </w:tc>
        <w:tc>
          <w:tcPr>
            <w:tcW w:w="3566" w:type="dxa"/>
            <w:noWrap/>
          </w:tcPr>
          <w:p w14:paraId="78BDC98E" w14:textId="4B98C8B7" w:rsidR="001C1D56" w:rsidRPr="00823613" w:rsidRDefault="001C1D56" w:rsidP="001C1D56">
            <w:pPr>
              <w:rPr>
                <w:rFonts w:ascii="Arial" w:hAnsi="Arial" w:cs="Arial"/>
                <w:color w:val="000000"/>
                <w:sz w:val="20"/>
              </w:rPr>
            </w:pPr>
            <w:r w:rsidRPr="00823613">
              <w:rPr>
                <w:rFonts w:ascii="Arial" w:hAnsi="Arial" w:cs="Arial"/>
                <w:color w:val="000000"/>
                <w:sz w:val="20"/>
              </w:rPr>
              <w:t xml:space="preserve">Fixed term </w:t>
            </w:r>
            <w:r>
              <w:rPr>
                <w:rFonts w:ascii="Arial" w:hAnsi="Arial" w:cs="Arial"/>
                <w:color w:val="000000"/>
                <w:sz w:val="20"/>
              </w:rPr>
              <w:t>until 31.3.24</w:t>
            </w:r>
          </w:p>
        </w:tc>
      </w:tr>
      <w:tr w:rsidR="001C1D56" w:rsidRPr="00DF3993" w14:paraId="6A608270" w14:textId="77777777" w:rsidTr="00F94B3B">
        <w:trPr>
          <w:trHeight w:val="300"/>
        </w:trPr>
        <w:tc>
          <w:tcPr>
            <w:tcW w:w="3403" w:type="dxa"/>
            <w:noWrap/>
          </w:tcPr>
          <w:p w14:paraId="521255D9" w14:textId="563498E2" w:rsidR="001C1D56" w:rsidRPr="00AA53A1" w:rsidRDefault="009C6B97" w:rsidP="001C1D56">
            <w:pPr>
              <w:rPr>
                <w:rFonts w:ascii="Arial" w:hAnsi="Arial" w:cs="Arial"/>
                <w:color w:val="000000"/>
                <w:sz w:val="20"/>
              </w:rPr>
            </w:pPr>
            <w:r>
              <w:rPr>
                <w:rFonts w:ascii="Arial" w:hAnsi="Arial" w:cs="Arial"/>
                <w:color w:val="000000"/>
                <w:sz w:val="20"/>
              </w:rPr>
              <w:t>Leisure Supervisor</w:t>
            </w:r>
          </w:p>
        </w:tc>
        <w:tc>
          <w:tcPr>
            <w:tcW w:w="2835" w:type="dxa"/>
            <w:noWrap/>
          </w:tcPr>
          <w:p w14:paraId="247436FB" w14:textId="407EA17A" w:rsidR="001C1D56" w:rsidRPr="00AA53A1" w:rsidRDefault="009C6B97" w:rsidP="001C1D56">
            <w:pPr>
              <w:rPr>
                <w:rFonts w:ascii="Arial" w:hAnsi="Arial" w:cs="Arial"/>
                <w:color w:val="000000"/>
                <w:sz w:val="20"/>
              </w:rPr>
            </w:pPr>
            <w:r>
              <w:rPr>
                <w:rFonts w:ascii="Arial" w:hAnsi="Arial" w:cs="Arial"/>
                <w:color w:val="000000"/>
                <w:sz w:val="20"/>
              </w:rPr>
              <w:t>Alness</w:t>
            </w:r>
          </w:p>
        </w:tc>
        <w:tc>
          <w:tcPr>
            <w:tcW w:w="829" w:type="dxa"/>
            <w:noWrap/>
          </w:tcPr>
          <w:p w14:paraId="196E0A29" w14:textId="30104B1B" w:rsidR="001C1D56" w:rsidRPr="00AA53A1" w:rsidRDefault="009C6B97" w:rsidP="001C1D56">
            <w:pPr>
              <w:jc w:val="center"/>
              <w:rPr>
                <w:rFonts w:ascii="Arial" w:hAnsi="Arial" w:cs="Arial"/>
                <w:color w:val="000000"/>
                <w:sz w:val="20"/>
              </w:rPr>
            </w:pPr>
            <w:r>
              <w:rPr>
                <w:rFonts w:ascii="Arial" w:hAnsi="Arial" w:cs="Arial"/>
                <w:color w:val="000000"/>
                <w:sz w:val="20"/>
              </w:rPr>
              <w:t>-0.1</w:t>
            </w:r>
          </w:p>
        </w:tc>
        <w:tc>
          <w:tcPr>
            <w:tcW w:w="3566" w:type="dxa"/>
            <w:noWrap/>
          </w:tcPr>
          <w:p w14:paraId="2D888B9B" w14:textId="0C1DFE27" w:rsidR="001C1D56" w:rsidRPr="00AA53A1" w:rsidRDefault="001C1D56" w:rsidP="001C1D56">
            <w:pPr>
              <w:rPr>
                <w:rFonts w:ascii="Arial" w:hAnsi="Arial" w:cs="Arial"/>
                <w:color w:val="000000"/>
                <w:sz w:val="20"/>
              </w:rPr>
            </w:pPr>
          </w:p>
        </w:tc>
      </w:tr>
      <w:tr w:rsidR="001C1D56" w:rsidRPr="00DF3993" w14:paraId="5F4FA036" w14:textId="77777777" w:rsidTr="00F94B3B">
        <w:trPr>
          <w:trHeight w:val="300"/>
        </w:trPr>
        <w:tc>
          <w:tcPr>
            <w:tcW w:w="3403" w:type="dxa"/>
            <w:noWrap/>
          </w:tcPr>
          <w:p w14:paraId="5D93CF0C" w14:textId="556A53DD" w:rsidR="001C1D56" w:rsidRPr="00AA53A1" w:rsidRDefault="00C81D49" w:rsidP="001C1D56">
            <w:pPr>
              <w:rPr>
                <w:rFonts w:ascii="Arial" w:hAnsi="Arial" w:cs="Arial"/>
                <w:color w:val="000000"/>
                <w:sz w:val="20"/>
              </w:rPr>
            </w:pPr>
            <w:r>
              <w:rPr>
                <w:rFonts w:ascii="Arial" w:hAnsi="Arial" w:cs="Arial"/>
                <w:color w:val="000000"/>
                <w:sz w:val="20"/>
              </w:rPr>
              <w:t>Leisure Assistant</w:t>
            </w:r>
          </w:p>
        </w:tc>
        <w:tc>
          <w:tcPr>
            <w:tcW w:w="2835" w:type="dxa"/>
            <w:noWrap/>
          </w:tcPr>
          <w:p w14:paraId="0A7AE484" w14:textId="6CB86E6F" w:rsidR="001C1D56" w:rsidRPr="00AA53A1" w:rsidRDefault="00C81D49" w:rsidP="001C1D56">
            <w:pPr>
              <w:rPr>
                <w:rFonts w:ascii="Arial" w:hAnsi="Arial" w:cs="Arial"/>
                <w:color w:val="000000"/>
                <w:sz w:val="20"/>
              </w:rPr>
            </w:pPr>
            <w:r>
              <w:rPr>
                <w:rFonts w:ascii="Arial" w:hAnsi="Arial" w:cs="Arial"/>
                <w:color w:val="000000"/>
                <w:sz w:val="20"/>
              </w:rPr>
              <w:t>Alness</w:t>
            </w:r>
          </w:p>
        </w:tc>
        <w:tc>
          <w:tcPr>
            <w:tcW w:w="829" w:type="dxa"/>
            <w:noWrap/>
          </w:tcPr>
          <w:p w14:paraId="279D57AC" w14:textId="60A52719" w:rsidR="001C1D56" w:rsidRPr="00AA53A1" w:rsidRDefault="00C81D49" w:rsidP="001C1D56">
            <w:pPr>
              <w:jc w:val="center"/>
              <w:rPr>
                <w:rFonts w:ascii="Arial" w:hAnsi="Arial" w:cs="Arial"/>
                <w:color w:val="000000"/>
                <w:sz w:val="20"/>
              </w:rPr>
            </w:pPr>
            <w:r>
              <w:rPr>
                <w:rFonts w:ascii="Arial" w:hAnsi="Arial" w:cs="Arial"/>
                <w:color w:val="000000"/>
                <w:sz w:val="20"/>
              </w:rPr>
              <w:t>-</w:t>
            </w:r>
            <w:r w:rsidR="00055206">
              <w:rPr>
                <w:rFonts w:ascii="Arial" w:hAnsi="Arial" w:cs="Arial"/>
                <w:color w:val="000000"/>
                <w:sz w:val="20"/>
              </w:rPr>
              <w:t>0.11</w:t>
            </w:r>
          </w:p>
        </w:tc>
        <w:tc>
          <w:tcPr>
            <w:tcW w:w="3566" w:type="dxa"/>
            <w:noWrap/>
          </w:tcPr>
          <w:p w14:paraId="5A393268" w14:textId="5671314A" w:rsidR="001C1D56" w:rsidRPr="00AA53A1" w:rsidRDefault="001C1D56" w:rsidP="001C1D56">
            <w:pPr>
              <w:rPr>
                <w:rFonts w:ascii="Arial" w:hAnsi="Arial" w:cs="Arial"/>
                <w:color w:val="000000"/>
                <w:sz w:val="20"/>
              </w:rPr>
            </w:pPr>
          </w:p>
        </w:tc>
      </w:tr>
      <w:tr w:rsidR="00764622" w:rsidRPr="00DF3993" w14:paraId="75659D03" w14:textId="77777777" w:rsidTr="00F94B3B">
        <w:trPr>
          <w:trHeight w:val="300"/>
        </w:trPr>
        <w:tc>
          <w:tcPr>
            <w:tcW w:w="3403" w:type="dxa"/>
            <w:noWrap/>
          </w:tcPr>
          <w:p w14:paraId="17B3813B" w14:textId="30F4CB10" w:rsidR="00764622" w:rsidRDefault="00764622" w:rsidP="001C1D56">
            <w:pPr>
              <w:rPr>
                <w:rFonts w:ascii="Arial" w:hAnsi="Arial" w:cs="Arial"/>
                <w:color w:val="000000"/>
                <w:sz w:val="20"/>
              </w:rPr>
            </w:pPr>
            <w:r>
              <w:rPr>
                <w:rFonts w:ascii="Arial" w:hAnsi="Arial" w:cs="Arial"/>
                <w:color w:val="000000"/>
                <w:sz w:val="20"/>
              </w:rPr>
              <w:t>Adult Learning Tutor (ESOL)</w:t>
            </w:r>
          </w:p>
        </w:tc>
        <w:tc>
          <w:tcPr>
            <w:tcW w:w="2835" w:type="dxa"/>
            <w:noWrap/>
          </w:tcPr>
          <w:p w14:paraId="5C71746C" w14:textId="0E55F728" w:rsidR="00764622" w:rsidRDefault="00764622" w:rsidP="001C1D56">
            <w:pPr>
              <w:rPr>
                <w:rFonts w:ascii="Arial" w:hAnsi="Arial" w:cs="Arial"/>
                <w:color w:val="000000"/>
                <w:sz w:val="20"/>
              </w:rPr>
            </w:pPr>
            <w:r>
              <w:rPr>
                <w:rFonts w:ascii="Arial" w:hAnsi="Arial" w:cs="Arial"/>
                <w:color w:val="000000"/>
                <w:sz w:val="20"/>
              </w:rPr>
              <w:t>Fort William</w:t>
            </w:r>
          </w:p>
        </w:tc>
        <w:tc>
          <w:tcPr>
            <w:tcW w:w="829" w:type="dxa"/>
            <w:noWrap/>
          </w:tcPr>
          <w:p w14:paraId="078C31B9" w14:textId="78D8DFF8" w:rsidR="00764622" w:rsidRDefault="0065333B" w:rsidP="001C1D56">
            <w:pPr>
              <w:jc w:val="center"/>
              <w:rPr>
                <w:rFonts w:ascii="Arial" w:hAnsi="Arial" w:cs="Arial"/>
                <w:color w:val="000000"/>
                <w:sz w:val="20"/>
              </w:rPr>
            </w:pPr>
            <w:r>
              <w:rPr>
                <w:rFonts w:ascii="Arial" w:hAnsi="Arial" w:cs="Arial"/>
                <w:color w:val="000000"/>
                <w:sz w:val="20"/>
              </w:rPr>
              <w:t>0.14</w:t>
            </w:r>
          </w:p>
        </w:tc>
        <w:tc>
          <w:tcPr>
            <w:tcW w:w="3566" w:type="dxa"/>
            <w:noWrap/>
          </w:tcPr>
          <w:p w14:paraId="285C3B8F" w14:textId="77777777" w:rsidR="00764622" w:rsidRPr="00AA53A1" w:rsidRDefault="00764622" w:rsidP="001C1D56">
            <w:pPr>
              <w:rPr>
                <w:rFonts w:ascii="Arial" w:hAnsi="Arial" w:cs="Arial"/>
                <w:color w:val="000000"/>
                <w:sz w:val="20"/>
              </w:rPr>
            </w:pPr>
          </w:p>
        </w:tc>
      </w:tr>
      <w:tr w:rsidR="001C1D56" w:rsidRPr="00DF3993" w14:paraId="41BCB4B2" w14:textId="77777777" w:rsidTr="00F94B3B">
        <w:trPr>
          <w:trHeight w:val="300"/>
        </w:trPr>
        <w:tc>
          <w:tcPr>
            <w:tcW w:w="3403" w:type="dxa"/>
            <w:noWrap/>
          </w:tcPr>
          <w:p w14:paraId="0956ECB5" w14:textId="3456A91A" w:rsidR="001C1D56" w:rsidRPr="00AA53A1" w:rsidRDefault="003576E8" w:rsidP="001C1D56">
            <w:pPr>
              <w:rPr>
                <w:rFonts w:ascii="Arial" w:hAnsi="Arial" w:cs="Arial"/>
                <w:color w:val="000000"/>
                <w:sz w:val="20"/>
              </w:rPr>
            </w:pPr>
            <w:r>
              <w:rPr>
                <w:rFonts w:ascii="Arial" w:hAnsi="Arial" w:cs="Arial"/>
                <w:color w:val="000000"/>
                <w:sz w:val="20"/>
              </w:rPr>
              <w:t>Assistant Youth Workers</w:t>
            </w:r>
            <w:r w:rsidR="00F214F0">
              <w:rPr>
                <w:rFonts w:ascii="Arial" w:hAnsi="Arial" w:cs="Arial"/>
                <w:color w:val="000000"/>
                <w:sz w:val="20"/>
              </w:rPr>
              <w:t xml:space="preserve"> (5)</w:t>
            </w:r>
          </w:p>
        </w:tc>
        <w:tc>
          <w:tcPr>
            <w:tcW w:w="2835" w:type="dxa"/>
            <w:noWrap/>
          </w:tcPr>
          <w:p w14:paraId="66C398AC" w14:textId="1BC1119B" w:rsidR="001C1D56" w:rsidRPr="00AA53A1" w:rsidRDefault="00F214F0" w:rsidP="001C1D56">
            <w:pPr>
              <w:rPr>
                <w:rFonts w:ascii="Arial" w:hAnsi="Arial" w:cs="Arial"/>
                <w:color w:val="000000"/>
                <w:sz w:val="20"/>
              </w:rPr>
            </w:pPr>
            <w:r>
              <w:rPr>
                <w:rFonts w:ascii="Arial" w:hAnsi="Arial" w:cs="Arial"/>
                <w:color w:val="000000"/>
                <w:sz w:val="20"/>
              </w:rPr>
              <w:t>Various locations</w:t>
            </w:r>
          </w:p>
        </w:tc>
        <w:tc>
          <w:tcPr>
            <w:tcW w:w="829" w:type="dxa"/>
            <w:noWrap/>
          </w:tcPr>
          <w:p w14:paraId="78C4E2CD" w14:textId="7FAA9DAC" w:rsidR="001C1D56" w:rsidRPr="00AA53A1" w:rsidRDefault="00500206" w:rsidP="001C1D56">
            <w:pPr>
              <w:jc w:val="center"/>
              <w:rPr>
                <w:rFonts w:ascii="Arial" w:hAnsi="Arial" w:cs="Arial"/>
                <w:color w:val="000000"/>
                <w:sz w:val="20"/>
              </w:rPr>
            </w:pPr>
            <w:r>
              <w:rPr>
                <w:rFonts w:ascii="Arial" w:hAnsi="Arial" w:cs="Arial"/>
                <w:color w:val="000000"/>
                <w:sz w:val="20"/>
              </w:rPr>
              <w:t>0.36</w:t>
            </w:r>
          </w:p>
        </w:tc>
        <w:tc>
          <w:tcPr>
            <w:tcW w:w="3566" w:type="dxa"/>
            <w:noWrap/>
          </w:tcPr>
          <w:p w14:paraId="343DCBB5" w14:textId="18D4C5D1" w:rsidR="001C1D56" w:rsidRPr="00AA53A1" w:rsidRDefault="001C1D56" w:rsidP="001C1D56">
            <w:pPr>
              <w:rPr>
                <w:rFonts w:ascii="Arial" w:hAnsi="Arial" w:cs="Arial"/>
                <w:color w:val="000000"/>
                <w:sz w:val="20"/>
              </w:rPr>
            </w:pPr>
          </w:p>
        </w:tc>
      </w:tr>
      <w:tr w:rsidR="001C1D56" w:rsidRPr="00DF3993" w14:paraId="0BA4A5D0" w14:textId="77777777" w:rsidTr="00F94B3B">
        <w:trPr>
          <w:trHeight w:val="300"/>
        </w:trPr>
        <w:tc>
          <w:tcPr>
            <w:tcW w:w="3403" w:type="dxa"/>
            <w:noWrap/>
          </w:tcPr>
          <w:p w14:paraId="00D75C07" w14:textId="1CD41CD5" w:rsidR="001C1D56" w:rsidRPr="00AA53A1" w:rsidRDefault="00500206" w:rsidP="001C1D56">
            <w:pPr>
              <w:rPr>
                <w:rFonts w:ascii="Arial" w:hAnsi="Arial" w:cs="Arial"/>
                <w:color w:val="000000"/>
                <w:sz w:val="20"/>
              </w:rPr>
            </w:pPr>
            <w:r>
              <w:rPr>
                <w:rFonts w:ascii="Arial" w:hAnsi="Arial" w:cs="Arial"/>
                <w:color w:val="000000"/>
                <w:sz w:val="20"/>
              </w:rPr>
              <w:t>Tutor Coach</w:t>
            </w:r>
          </w:p>
        </w:tc>
        <w:tc>
          <w:tcPr>
            <w:tcW w:w="2835" w:type="dxa"/>
            <w:noWrap/>
          </w:tcPr>
          <w:p w14:paraId="60F223DA" w14:textId="5A6D4F67" w:rsidR="001C1D56" w:rsidRPr="00AA53A1" w:rsidRDefault="00500206" w:rsidP="001C1D56">
            <w:pPr>
              <w:rPr>
                <w:rFonts w:ascii="Arial" w:hAnsi="Arial" w:cs="Arial"/>
                <w:color w:val="000000"/>
                <w:sz w:val="20"/>
              </w:rPr>
            </w:pPr>
            <w:r>
              <w:rPr>
                <w:rFonts w:ascii="Arial" w:hAnsi="Arial" w:cs="Arial"/>
                <w:color w:val="000000"/>
                <w:sz w:val="20"/>
              </w:rPr>
              <w:t>Inverness leisure</w:t>
            </w:r>
          </w:p>
        </w:tc>
        <w:tc>
          <w:tcPr>
            <w:tcW w:w="829" w:type="dxa"/>
            <w:noWrap/>
          </w:tcPr>
          <w:p w14:paraId="44563B96" w14:textId="3CCBA17A" w:rsidR="001C1D56" w:rsidRPr="00AA53A1" w:rsidRDefault="0025252B" w:rsidP="001C1D56">
            <w:pPr>
              <w:jc w:val="center"/>
              <w:rPr>
                <w:rFonts w:ascii="Arial" w:hAnsi="Arial" w:cs="Arial"/>
                <w:color w:val="000000"/>
                <w:sz w:val="20"/>
              </w:rPr>
            </w:pPr>
            <w:r>
              <w:rPr>
                <w:rFonts w:ascii="Arial" w:hAnsi="Arial" w:cs="Arial"/>
                <w:color w:val="000000"/>
                <w:sz w:val="20"/>
              </w:rPr>
              <w:t>0.17</w:t>
            </w:r>
          </w:p>
        </w:tc>
        <w:tc>
          <w:tcPr>
            <w:tcW w:w="3566" w:type="dxa"/>
            <w:noWrap/>
          </w:tcPr>
          <w:p w14:paraId="3B38C32F" w14:textId="67D6D0DB" w:rsidR="001C1D56" w:rsidRPr="00AA53A1" w:rsidRDefault="001C1D56" w:rsidP="001C1D56">
            <w:pPr>
              <w:rPr>
                <w:rFonts w:ascii="Arial" w:hAnsi="Arial" w:cs="Arial"/>
                <w:color w:val="000000"/>
                <w:sz w:val="20"/>
              </w:rPr>
            </w:pPr>
          </w:p>
        </w:tc>
      </w:tr>
      <w:tr w:rsidR="001C1D56" w:rsidRPr="009F421A" w14:paraId="20C6C755" w14:textId="77777777" w:rsidTr="00F94B3B">
        <w:trPr>
          <w:trHeight w:val="300"/>
        </w:trPr>
        <w:tc>
          <w:tcPr>
            <w:tcW w:w="3403" w:type="dxa"/>
            <w:noWrap/>
          </w:tcPr>
          <w:p w14:paraId="68A031C7" w14:textId="77777777" w:rsidR="001C1D56" w:rsidRDefault="001C1D56" w:rsidP="001C1D56">
            <w:pPr>
              <w:pStyle w:val="NoSpacing"/>
              <w:rPr>
                <w:bCs/>
                <w:sz w:val="20"/>
                <w:szCs w:val="20"/>
              </w:rPr>
            </w:pPr>
          </w:p>
        </w:tc>
        <w:tc>
          <w:tcPr>
            <w:tcW w:w="2835" w:type="dxa"/>
            <w:noWrap/>
          </w:tcPr>
          <w:p w14:paraId="64A295FA" w14:textId="77777777" w:rsidR="001C1D56" w:rsidRDefault="001C1D56" w:rsidP="001C1D56">
            <w:pPr>
              <w:pStyle w:val="NoSpacing"/>
              <w:rPr>
                <w:bCs/>
                <w:sz w:val="20"/>
                <w:szCs w:val="20"/>
              </w:rPr>
            </w:pPr>
          </w:p>
        </w:tc>
        <w:tc>
          <w:tcPr>
            <w:tcW w:w="829" w:type="dxa"/>
            <w:noWrap/>
          </w:tcPr>
          <w:p w14:paraId="4C608D3C" w14:textId="4C22F743" w:rsidR="001C1D56" w:rsidRPr="00242AB9" w:rsidRDefault="00370D44" w:rsidP="00370D44">
            <w:pPr>
              <w:pStyle w:val="NoSpacing"/>
              <w:jc w:val="center"/>
              <w:rPr>
                <w:b/>
                <w:sz w:val="20"/>
                <w:szCs w:val="20"/>
              </w:rPr>
            </w:pPr>
            <w:r>
              <w:rPr>
                <w:b/>
                <w:sz w:val="20"/>
                <w:szCs w:val="20"/>
              </w:rPr>
              <w:t>0.30</w:t>
            </w:r>
          </w:p>
        </w:tc>
        <w:tc>
          <w:tcPr>
            <w:tcW w:w="3566" w:type="dxa"/>
            <w:noWrap/>
          </w:tcPr>
          <w:p w14:paraId="2F17027A" w14:textId="77777777" w:rsidR="001C1D56" w:rsidRPr="009D3A97" w:rsidRDefault="001C1D56" w:rsidP="001C1D56">
            <w:pPr>
              <w:pStyle w:val="NoSpacing"/>
              <w:rPr>
                <w:bCs/>
                <w:sz w:val="20"/>
                <w:szCs w:val="20"/>
              </w:rPr>
            </w:pPr>
          </w:p>
        </w:tc>
      </w:tr>
    </w:tbl>
    <w:p w14:paraId="1FCB87BC" w14:textId="306588A6" w:rsidR="004B7F43" w:rsidRPr="004B7F43" w:rsidRDefault="002E7BD0" w:rsidP="007C65C4">
      <w:pPr>
        <w:pStyle w:val="NoSpacing"/>
        <w:jc w:val="right"/>
        <w:rPr>
          <w:sz w:val="20"/>
          <w:szCs w:val="20"/>
        </w:rPr>
      </w:pPr>
      <w:r w:rsidRPr="0089793E">
        <w:rPr>
          <w:sz w:val="20"/>
          <w:szCs w:val="20"/>
        </w:rPr>
        <w:t>Table 1</w:t>
      </w:r>
    </w:p>
    <w:p w14:paraId="33F0586C" w14:textId="77777777" w:rsidR="00A15F49" w:rsidRDefault="00A15F49" w:rsidP="002F5657">
      <w:pPr>
        <w:pStyle w:val="NoSpacing"/>
        <w:jc w:val="right"/>
        <w:rPr>
          <w:b/>
          <w:bCs/>
        </w:rPr>
      </w:pPr>
    </w:p>
    <w:p w14:paraId="19230121" w14:textId="77777777" w:rsidR="00082D29" w:rsidRDefault="00082D29">
      <w:pPr>
        <w:rPr>
          <w:rFonts w:ascii="Arial" w:eastAsiaTheme="minorHAnsi" w:hAnsi="Arial" w:cs="Arial"/>
          <w:b/>
          <w:bCs/>
          <w:szCs w:val="24"/>
          <w:lang w:eastAsia="en-US"/>
        </w:rPr>
      </w:pPr>
      <w:r>
        <w:rPr>
          <w:b/>
          <w:bCs/>
        </w:rPr>
        <w:br w:type="page"/>
      </w:r>
    </w:p>
    <w:p w14:paraId="2984CB79" w14:textId="1BD36DAB" w:rsidR="00E53486" w:rsidRPr="002F5657" w:rsidRDefault="002F5657" w:rsidP="002F5657">
      <w:pPr>
        <w:pStyle w:val="NoSpacing"/>
        <w:jc w:val="right"/>
        <w:rPr>
          <w:b/>
          <w:bCs/>
        </w:rPr>
      </w:pPr>
      <w:r>
        <w:rPr>
          <w:b/>
          <w:bCs/>
        </w:rPr>
        <w:lastRenderedPageBreak/>
        <w:t>Appendix B</w:t>
      </w:r>
    </w:p>
    <w:p w14:paraId="5F5FE118" w14:textId="7C4B407D" w:rsidR="002F5657" w:rsidRDefault="002F5657" w:rsidP="002579EB">
      <w:pPr>
        <w:pStyle w:val="NoSpacing"/>
      </w:pPr>
    </w:p>
    <w:p w14:paraId="6DF5F564" w14:textId="1855B0F8" w:rsidR="002F5657" w:rsidRDefault="002F5657" w:rsidP="00082D29">
      <w:pPr>
        <w:pStyle w:val="NoSpacing"/>
        <w:jc w:val="right"/>
      </w:pPr>
      <w:r>
        <w:rPr>
          <w:b/>
          <w:bCs/>
        </w:rPr>
        <w:t>Attendance Management Tables</w:t>
      </w:r>
    </w:p>
    <w:p w14:paraId="2A72CE18" w14:textId="11594ACF" w:rsidR="002F5657" w:rsidRDefault="002F565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7A7B37" w:rsidRPr="00792FAC" w14:paraId="090286D8"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A9613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SHORT-TERM ABSENCE RATES</w:t>
            </w:r>
          </w:p>
        </w:tc>
      </w:tr>
      <w:tr w:rsidR="007A7B37" w:rsidRPr="00792FAC" w14:paraId="12F6C6B7"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0FBD1A1" w14:textId="77777777" w:rsidR="007A7B37" w:rsidRPr="00792FAC" w:rsidRDefault="007A7B37" w:rsidP="006C2604">
            <w:pPr>
              <w:spacing w:line="276" w:lineRule="auto"/>
              <w:jc w:val="center"/>
              <w:rPr>
                <w:rFonts w:ascii="Arial" w:eastAsia="Calibri" w:hAnsi="Arial" w:cs="Arial"/>
                <w:b/>
                <w:bCs/>
                <w:szCs w:val="24"/>
              </w:rPr>
            </w:pPr>
          </w:p>
          <w:p w14:paraId="17A5DA11" w14:textId="77777777" w:rsidR="007A7B37" w:rsidRPr="00792FAC" w:rsidRDefault="007A7B37"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0AB8A14" w14:textId="77777777" w:rsidR="007A7B37" w:rsidRPr="00792FAC" w:rsidRDefault="007A7B37" w:rsidP="006C2604">
            <w:pPr>
              <w:spacing w:line="276" w:lineRule="auto"/>
              <w:jc w:val="center"/>
              <w:rPr>
                <w:rFonts w:ascii="Arial" w:eastAsia="Calibri" w:hAnsi="Arial" w:cs="Arial"/>
                <w:b/>
                <w:bCs/>
                <w:szCs w:val="24"/>
              </w:rPr>
            </w:pPr>
          </w:p>
          <w:p w14:paraId="5FDCFB2E"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B9CEC5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p w14:paraId="0E240DF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8388B55" w14:textId="77777777" w:rsidR="007A7B37" w:rsidRPr="00792FAC" w:rsidRDefault="007A7B37" w:rsidP="006C2604">
            <w:pPr>
              <w:spacing w:line="276" w:lineRule="auto"/>
              <w:jc w:val="center"/>
              <w:rPr>
                <w:rFonts w:ascii="Arial" w:eastAsia="Calibri" w:hAnsi="Arial" w:cs="Arial"/>
                <w:b/>
                <w:bCs/>
                <w:szCs w:val="24"/>
              </w:rPr>
            </w:pPr>
          </w:p>
          <w:p w14:paraId="4C46041C"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351883E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p w14:paraId="08893E0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1DC88C" w14:textId="77777777" w:rsidR="007A7B37" w:rsidRPr="00792FAC" w:rsidRDefault="007A7B37" w:rsidP="006C2604">
            <w:pPr>
              <w:spacing w:line="276" w:lineRule="auto"/>
              <w:jc w:val="center"/>
              <w:rPr>
                <w:rFonts w:ascii="Arial" w:eastAsia="Calibri" w:hAnsi="Arial" w:cs="Arial"/>
                <w:b/>
                <w:bCs/>
                <w:szCs w:val="24"/>
              </w:rPr>
            </w:pPr>
          </w:p>
          <w:p w14:paraId="55A35E3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7761C555"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p w14:paraId="7CDC42E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0000B9" w14:textId="77777777" w:rsidR="007A7B37" w:rsidRPr="00792FAC" w:rsidRDefault="007A7B37" w:rsidP="006C2604">
            <w:pPr>
              <w:spacing w:line="276" w:lineRule="auto"/>
              <w:jc w:val="center"/>
              <w:rPr>
                <w:rFonts w:ascii="Arial" w:eastAsia="Calibri" w:hAnsi="Arial" w:cs="Arial"/>
                <w:b/>
                <w:bCs/>
                <w:szCs w:val="24"/>
              </w:rPr>
            </w:pPr>
          </w:p>
          <w:p w14:paraId="00287A79"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2BEF2F7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p w14:paraId="11FC312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r>
      <w:tr w:rsidR="007A7B37" w:rsidRPr="00792FAC" w14:paraId="6C1AC24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A1A55D"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1BCA6"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FA4E"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F8C"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1.13</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F5633" w14:textId="07062F13" w:rsidR="007A7B37" w:rsidRPr="00792FAC" w:rsidRDefault="0099059A" w:rsidP="006C2604">
            <w:pPr>
              <w:spacing w:line="276" w:lineRule="auto"/>
              <w:jc w:val="center"/>
              <w:rPr>
                <w:rFonts w:ascii="Arial" w:eastAsia="Calibri" w:hAnsi="Arial" w:cs="Arial"/>
                <w:szCs w:val="24"/>
              </w:rPr>
            </w:pPr>
            <w:r>
              <w:rPr>
                <w:rFonts w:ascii="Arial" w:eastAsia="Calibri" w:hAnsi="Arial" w:cs="Arial"/>
                <w:szCs w:val="24"/>
              </w:rPr>
              <w:t>1.62</w:t>
            </w:r>
          </w:p>
        </w:tc>
      </w:tr>
      <w:tr w:rsidR="006B118A" w:rsidRPr="00792FAC" w14:paraId="495A572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4A0F8" w14:textId="6AEC3C7C" w:rsidR="006B118A"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01493" w14:textId="4F846E5A" w:rsidR="006B118A" w:rsidRPr="00792FAC" w:rsidRDefault="00CE0B75" w:rsidP="006C2604">
            <w:pPr>
              <w:spacing w:line="276" w:lineRule="auto"/>
              <w:jc w:val="center"/>
              <w:rPr>
                <w:rFonts w:ascii="Arial" w:eastAsia="Calibri" w:hAnsi="Arial" w:cs="Arial"/>
                <w:szCs w:val="24"/>
              </w:rPr>
            </w:pPr>
            <w:r>
              <w:rPr>
                <w:rFonts w:ascii="Arial" w:eastAsia="Calibri" w:hAnsi="Arial" w:cs="Arial"/>
                <w:szCs w:val="24"/>
              </w:rPr>
              <w:t>2.07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21403" w14:textId="086560EC" w:rsidR="006B118A" w:rsidRPr="00792FAC" w:rsidRDefault="00A63E2A" w:rsidP="006C2604">
            <w:pPr>
              <w:spacing w:line="276" w:lineRule="auto"/>
              <w:jc w:val="center"/>
              <w:rPr>
                <w:rFonts w:ascii="Arial" w:eastAsia="Calibri" w:hAnsi="Arial" w:cs="Arial"/>
                <w:szCs w:val="24"/>
              </w:rPr>
            </w:pPr>
            <w:r>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66AF1" w14:textId="092E0F74" w:rsidR="006B118A" w:rsidRPr="00792FAC" w:rsidRDefault="00FB6807" w:rsidP="006C2604">
            <w:pPr>
              <w:spacing w:line="276" w:lineRule="auto"/>
              <w:jc w:val="center"/>
              <w:rPr>
                <w:rFonts w:ascii="Arial" w:eastAsia="Calibri" w:hAnsi="Arial" w:cs="Arial"/>
                <w:szCs w:val="24"/>
              </w:rPr>
            </w:pPr>
            <w:r>
              <w:rPr>
                <w:rFonts w:ascii="Arial" w:eastAsia="Calibri" w:hAnsi="Arial" w:cs="Arial"/>
                <w:szCs w:val="24"/>
              </w:rPr>
              <w:t>1.35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16DB3" w14:textId="395A0EAC" w:rsidR="006B118A" w:rsidRDefault="00614641" w:rsidP="006C2604">
            <w:pPr>
              <w:spacing w:line="276" w:lineRule="auto"/>
              <w:jc w:val="center"/>
              <w:rPr>
                <w:rFonts w:ascii="Arial" w:eastAsia="Calibri" w:hAnsi="Arial" w:cs="Arial"/>
                <w:szCs w:val="24"/>
              </w:rPr>
            </w:pPr>
            <w:r>
              <w:rPr>
                <w:rFonts w:ascii="Arial" w:eastAsia="Calibri" w:hAnsi="Arial" w:cs="Arial"/>
                <w:szCs w:val="24"/>
              </w:rPr>
              <w:t>1.52</w:t>
            </w:r>
          </w:p>
        </w:tc>
      </w:tr>
      <w:tr w:rsidR="0070507B" w:rsidRPr="00792FAC" w14:paraId="3261729B"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D0058EB" w14:textId="67190B50" w:rsidR="0070507B" w:rsidRDefault="0070507B"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0345F" w14:textId="7A46DB9F" w:rsidR="0070507B" w:rsidRDefault="008E5EA6" w:rsidP="006C2604">
            <w:pPr>
              <w:spacing w:line="276" w:lineRule="auto"/>
              <w:jc w:val="center"/>
              <w:rPr>
                <w:rFonts w:ascii="Arial" w:eastAsia="Calibri" w:hAnsi="Arial" w:cs="Arial"/>
                <w:szCs w:val="24"/>
              </w:rPr>
            </w:pPr>
            <w:r>
              <w:rPr>
                <w:rFonts w:ascii="Arial" w:eastAsia="Calibri" w:hAnsi="Arial" w:cs="Arial"/>
                <w:szCs w:val="24"/>
              </w:rPr>
              <w:t>1.49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5E3E0" w14:textId="0D84A7CE" w:rsidR="0070507B" w:rsidRDefault="003F10E1" w:rsidP="006C2604">
            <w:pPr>
              <w:spacing w:line="276" w:lineRule="auto"/>
              <w:jc w:val="center"/>
              <w:rPr>
                <w:rFonts w:ascii="Arial" w:eastAsia="Calibri" w:hAnsi="Arial" w:cs="Arial"/>
                <w:szCs w:val="24"/>
              </w:rPr>
            </w:pPr>
            <w:r>
              <w:rPr>
                <w:rFonts w:ascii="Arial" w:eastAsia="Calibri" w:hAnsi="Arial" w:cs="Arial"/>
                <w:szCs w:val="24"/>
              </w:rPr>
              <w:t>1.29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3C72A" w14:textId="77777777" w:rsidR="0070507B" w:rsidRDefault="0070507B" w:rsidP="006C2604">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BC7857" w14:textId="77777777" w:rsidR="0070507B" w:rsidRDefault="0070507B" w:rsidP="006C2604">
            <w:pPr>
              <w:spacing w:line="276" w:lineRule="auto"/>
              <w:jc w:val="center"/>
              <w:rPr>
                <w:rFonts w:ascii="Arial" w:eastAsia="Calibri" w:hAnsi="Arial" w:cs="Arial"/>
                <w:szCs w:val="24"/>
              </w:rPr>
            </w:pPr>
          </w:p>
        </w:tc>
      </w:tr>
    </w:tbl>
    <w:p w14:paraId="2997A3BE" w14:textId="736C3B72" w:rsidR="002F5657" w:rsidRPr="002E7BD0" w:rsidRDefault="002E7BD0" w:rsidP="002E7BD0">
      <w:pPr>
        <w:pStyle w:val="NoSpacing"/>
        <w:jc w:val="right"/>
        <w:rPr>
          <w:sz w:val="20"/>
          <w:szCs w:val="20"/>
        </w:rPr>
      </w:pPr>
      <w:r w:rsidRPr="4E3E9867">
        <w:rPr>
          <w:sz w:val="20"/>
          <w:szCs w:val="20"/>
        </w:rPr>
        <w:t>Table 2</w:t>
      </w:r>
    </w:p>
    <w:p w14:paraId="2B4582A8" w14:textId="77777777" w:rsidR="00D50445" w:rsidRPr="00E604EC" w:rsidRDefault="00D50445" w:rsidP="4E3E9867">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56302B" w:rsidRPr="009C1F2A" w14:paraId="4362F69C" w14:textId="77777777" w:rsidTr="4E3E986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D1896EE"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56302B" w:rsidRPr="009C1F2A" w14:paraId="6E6777E9"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9BA9D2" w14:textId="77777777" w:rsidR="0056302B" w:rsidRDefault="0056302B" w:rsidP="006C2604">
            <w:pPr>
              <w:spacing w:line="276" w:lineRule="auto"/>
              <w:jc w:val="center"/>
              <w:rPr>
                <w:rFonts w:ascii="Arial" w:eastAsia="Calibri" w:hAnsi="Arial" w:cs="Arial"/>
                <w:b/>
                <w:bCs/>
                <w:szCs w:val="24"/>
              </w:rPr>
            </w:pPr>
          </w:p>
          <w:p w14:paraId="5CCEAD63" w14:textId="77777777" w:rsidR="0056302B" w:rsidRPr="009C1F2A" w:rsidRDefault="0056302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FDE8F78" w14:textId="77777777" w:rsidR="0056302B" w:rsidRPr="009C1F2A" w:rsidRDefault="0056302B" w:rsidP="006C2604">
            <w:pPr>
              <w:spacing w:line="276" w:lineRule="auto"/>
              <w:jc w:val="center"/>
              <w:rPr>
                <w:rFonts w:ascii="Arial" w:eastAsia="Calibri" w:hAnsi="Arial" w:cs="Arial"/>
                <w:b/>
                <w:bCs/>
                <w:szCs w:val="24"/>
              </w:rPr>
            </w:pPr>
          </w:p>
          <w:p w14:paraId="1832ED00"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4BADCF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3FBB998A"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FE2AC3" w14:textId="77777777" w:rsidR="0056302B" w:rsidRPr="009C1F2A" w:rsidRDefault="0056302B" w:rsidP="006C2604">
            <w:pPr>
              <w:spacing w:line="276" w:lineRule="auto"/>
              <w:jc w:val="center"/>
              <w:rPr>
                <w:rFonts w:ascii="Arial" w:eastAsia="Calibri" w:hAnsi="Arial" w:cs="Arial"/>
                <w:b/>
                <w:bCs/>
                <w:szCs w:val="24"/>
              </w:rPr>
            </w:pPr>
          </w:p>
          <w:p w14:paraId="23BB3656"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60203D42"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4FDAF9C6"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ACF0E1" w14:textId="77777777" w:rsidR="0056302B" w:rsidRPr="009C1F2A" w:rsidRDefault="0056302B" w:rsidP="006C2604">
            <w:pPr>
              <w:spacing w:line="276" w:lineRule="auto"/>
              <w:jc w:val="center"/>
              <w:rPr>
                <w:rFonts w:ascii="Arial" w:eastAsia="Calibri" w:hAnsi="Arial" w:cs="Arial"/>
                <w:b/>
                <w:bCs/>
                <w:szCs w:val="24"/>
              </w:rPr>
            </w:pPr>
          </w:p>
          <w:p w14:paraId="6BA1BA4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67548FC"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4C7DAEC2"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CA61FB2" w14:textId="77777777" w:rsidR="0056302B" w:rsidRPr="009C1F2A" w:rsidRDefault="0056302B" w:rsidP="006C2604">
            <w:pPr>
              <w:spacing w:line="276" w:lineRule="auto"/>
              <w:jc w:val="center"/>
              <w:rPr>
                <w:rFonts w:ascii="Arial" w:eastAsia="Calibri" w:hAnsi="Arial" w:cs="Arial"/>
                <w:b/>
                <w:bCs/>
                <w:szCs w:val="24"/>
              </w:rPr>
            </w:pPr>
          </w:p>
          <w:p w14:paraId="5C1AB39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769D14D"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18F3817"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r>
      <w:tr w:rsidR="0056302B" w14:paraId="6FB586BF"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3A40DB7"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0DC7"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1.93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8581"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2.88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633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2.96</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19F35" w14:textId="2CBB0E70" w:rsidR="0056302B" w:rsidRDefault="0099059A" w:rsidP="006C2604">
            <w:pPr>
              <w:spacing w:line="276" w:lineRule="auto"/>
              <w:jc w:val="center"/>
              <w:rPr>
                <w:rFonts w:ascii="Arial" w:eastAsia="Calibri" w:hAnsi="Arial" w:cs="Arial"/>
                <w:szCs w:val="24"/>
              </w:rPr>
            </w:pPr>
            <w:r>
              <w:rPr>
                <w:rFonts w:ascii="Arial" w:eastAsia="Calibri" w:hAnsi="Arial" w:cs="Arial"/>
                <w:szCs w:val="24"/>
              </w:rPr>
              <w:t>2.51</w:t>
            </w:r>
          </w:p>
        </w:tc>
      </w:tr>
      <w:tr w:rsidR="00CE0B75" w14:paraId="26C1E948"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568D4D6" w14:textId="0826CB58" w:rsidR="00CE0B75"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E432" w14:textId="1E43C99E" w:rsidR="00CE0B75" w:rsidRDefault="00CE0B75" w:rsidP="006C2604">
            <w:pPr>
              <w:spacing w:line="276" w:lineRule="auto"/>
              <w:jc w:val="center"/>
              <w:rPr>
                <w:rFonts w:ascii="Arial" w:eastAsia="Calibri" w:hAnsi="Arial" w:cs="Arial"/>
                <w:szCs w:val="24"/>
              </w:rPr>
            </w:pPr>
            <w:r>
              <w:rPr>
                <w:rFonts w:ascii="Arial" w:eastAsia="Calibri" w:hAnsi="Arial" w:cs="Arial"/>
                <w:szCs w:val="24"/>
              </w:rPr>
              <w:t>3.76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17ED" w14:textId="6C16879C" w:rsidR="00CE0B75" w:rsidRDefault="00A63E2A" w:rsidP="006C2604">
            <w:pPr>
              <w:spacing w:line="276" w:lineRule="auto"/>
              <w:jc w:val="center"/>
              <w:rPr>
                <w:rFonts w:ascii="Arial" w:eastAsia="Calibri" w:hAnsi="Arial" w:cs="Arial"/>
                <w:szCs w:val="24"/>
              </w:rPr>
            </w:pPr>
            <w:r>
              <w:rPr>
                <w:rFonts w:ascii="Arial" w:eastAsia="Calibri" w:hAnsi="Arial" w:cs="Arial"/>
                <w:szCs w:val="24"/>
              </w:rPr>
              <w:t>3.52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96B2" w14:textId="58ED178E" w:rsidR="00CE0B75" w:rsidRDefault="00FB6807" w:rsidP="006C2604">
            <w:pPr>
              <w:spacing w:line="276" w:lineRule="auto"/>
              <w:jc w:val="center"/>
              <w:rPr>
                <w:rFonts w:ascii="Arial" w:eastAsia="Calibri" w:hAnsi="Arial" w:cs="Arial"/>
                <w:szCs w:val="24"/>
              </w:rPr>
            </w:pPr>
            <w:r>
              <w:rPr>
                <w:rFonts w:ascii="Arial" w:eastAsia="Calibri" w:hAnsi="Arial" w:cs="Arial"/>
                <w:szCs w:val="24"/>
              </w:rPr>
              <w:t>3.38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FFBF6" w14:textId="5ABADD7D" w:rsidR="00CE0B75" w:rsidRDefault="00614641" w:rsidP="006C2604">
            <w:pPr>
              <w:spacing w:line="276" w:lineRule="auto"/>
              <w:jc w:val="center"/>
              <w:rPr>
                <w:rFonts w:ascii="Arial" w:eastAsia="Calibri" w:hAnsi="Arial" w:cs="Arial"/>
                <w:szCs w:val="24"/>
              </w:rPr>
            </w:pPr>
            <w:r>
              <w:rPr>
                <w:rFonts w:ascii="Arial" w:eastAsia="Calibri" w:hAnsi="Arial" w:cs="Arial"/>
                <w:szCs w:val="24"/>
              </w:rPr>
              <w:t>3.12</w:t>
            </w:r>
          </w:p>
        </w:tc>
      </w:tr>
      <w:tr w:rsidR="005909C6" w14:paraId="42FBDFB6"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1DC5787" w14:textId="40C98CEF" w:rsidR="005909C6" w:rsidRDefault="005909C6"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69B80" w14:textId="4B62978F" w:rsidR="005909C6" w:rsidRDefault="361E98FD" w:rsidP="4E3E9867">
            <w:pPr>
              <w:spacing w:line="276" w:lineRule="auto"/>
              <w:jc w:val="center"/>
              <w:rPr>
                <w:rFonts w:ascii="Arial" w:eastAsia="Calibri" w:hAnsi="Arial" w:cs="Arial"/>
              </w:rPr>
            </w:pPr>
            <w:r w:rsidRPr="4E3E9867">
              <w:rPr>
                <w:rFonts w:ascii="Arial" w:eastAsia="Calibri" w:hAnsi="Arial" w:cs="Arial"/>
              </w:rPr>
              <w:t>2.79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865F2" w14:textId="46EAA55B" w:rsidR="005909C6" w:rsidRDefault="00AB498E" w:rsidP="4E3E9867">
            <w:pPr>
              <w:spacing w:line="276" w:lineRule="auto"/>
              <w:jc w:val="center"/>
              <w:rPr>
                <w:rFonts w:ascii="Arial" w:eastAsia="Calibri" w:hAnsi="Arial" w:cs="Arial"/>
              </w:rPr>
            </w:pPr>
            <w:r w:rsidRPr="4E3E9867">
              <w:rPr>
                <w:rFonts w:ascii="Arial" w:eastAsia="Calibri" w:hAnsi="Arial" w:cs="Arial"/>
              </w:rPr>
              <w:t>2.78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BFD10" w14:textId="77777777" w:rsidR="005909C6" w:rsidRDefault="005909C6" w:rsidP="006C2604">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803F0" w14:textId="77777777" w:rsidR="005909C6" w:rsidRDefault="005909C6" w:rsidP="006C2604">
            <w:pPr>
              <w:spacing w:line="276" w:lineRule="auto"/>
              <w:jc w:val="center"/>
              <w:rPr>
                <w:rFonts w:ascii="Arial" w:eastAsia="Calibri" w:hAnsi="Arial" w:cs="Arial"/>
                <w:szCs w:val="24"/>
              </w:rPr>
            </w:pPr>
          </w:p>
        </w:tc>
      </w:tr>
    </w:tbl>
    <w:p w14:paraId="2F3369E3" w14:textId="196BC868" w:rsidR="007A7B37" w:rsidRPr="002E7BD0" w:rsidRDefault="002E7BD0" w:rsidP="002E7BD0">
      <w:pPr>
        <w:pStyle w:val="NoSpacing"/>
        <w:jc w:val="right"/>
        <w:rPr>
          <w:sz w:val="20"/>
          <w:szCs w:val="20"/>
        </w:rPr>
      </w:pPr>
      <w:r w:rsidRPr="002E7BD0">
        <w:rPr>
          <w:sz w:val="20"/>
          <w:szCs w:val="20"/>
        </w:rPr>
        <w:t>Table 3</w:t>
      </w:r>
    </w:p>
    <w:p w14:paraId="56F40F14" w14:textId="3789F05B" w:rsidR="002E7BD0" w:rsidRDefault="69AFB7D0" w:rsidP="4E3E9867">
      <w:pPr>
        <w:pStyle w:val="NoSpacing"/>
        <w:rPr>
          <w:sz w:val="20"/>
          <w:szCs w:val="20"/>
        </w:rPr>
      </w:pPr>
      <w:r w:rsidRPr="4E3E9867">
        <w:rPr>
          <w:sz w:val="20"/>
          <w:szCs w:val="20"/>
        </w:rPr>
        <w:t xml:space="preserve">*Number of employees off for periods exceeding 10 days </w:t>
      </w:r>
      <w:r w:rsidR="00A44B7B">
        <w:rPr>
          <w:sz w:val="20"/>
          <w:szCs w:val="20"/>
        </w:rPr>
        <w:t xml:space="preserve">were 35 in Q1 and 33 </w:t>
      </w:r>
      <w:r w:rsidR="00233AAA">
        <w:rPr>
          <w:sz w:val="20"/>
          <w:szCs w:val="20"/>
        </w:rPr>
        <w:t>in Q2</w:t>
      </w:r>
      <w:r w:rsidR="00C461A5">
        <w:rPr>
          <w:sz w:val="20"/>
          <w:szCs w:val="20"/>
        </w:rPr>
        <w:t>.</w:t>
      </w:r>
    </w:p>
    <w:p w14:paraId="5A3C4C6E" w14:textId="564D0E32" w:rsidR="0056302B" w:rsidRDefault="0056302B"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E4510B" w:rsidRPr="00792FAC" w14:paraId="73EC086F"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2DEAEFD"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AVERAGE SICKNESS ABSENCE DAYS PER EMPLOYEE</w:t>
            </w:r>
          </w:p>
        </w:tc>
      </w:tr>
      <w:tr w:rsidR="00E4510B" w:rsidRPr="00792FAC" w14:paraId="6E527E11"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10C7313" w14:textId="77777777" w:rsidR="00E4510B" w:rsidRPr="00792FAC" w:rsidRDefault="00E4510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A77759" w14:textId="77777777" w:rsidR="00E4510B" w:rsidRPr="00792FAC" w:rsidRDefault="00E4510B" w:rsidP="006C2604">
            <w:pPr>
              <w:spacing w:line="276" w:lineRule="auto"/>
              <w:jc w:val="center"/>
              <w:rPr>
                <w:rFonts w:ascii="Arial" w:eastAsia="Calibri" w:hAnsi="Arial" w:cs="Arial"/>
                <w:b/>
                <w:bCs/>
                <w:szCs w:val="24"/>
              </w:rPr>
            </w:pPr>
          </w:p>
          <w:p w14:paraId="549A43D5"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D292C8E"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9F05D2" w14:textId="77777777" w:rsidR="00E4510B" w:rsidRPr="00792FAC" w:rsidRDefault="00E4510B" w:rsidP="006C2604">
            <w:pPr>
              <w:spacing w:line="276" w:lineRule="auto"/>
              <w:jc w:val="center"/>
              <w:rPr>
                <w:rFonts w:ascii="Arial" w:eastAsia="Calibri" w:hAnsi="Arial" w:cs="Arial"/>
                <w:b/>
                <w:bCs/>
                <w:szCs w:val="24"/>
              </w:rPr>
            </w:pPr>
          </w:p>
          <w:p w14:paraId="42AF3902"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572AD4F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3926BB" w14:textId="77777777" w:rsidR="00E4510B" w:rsidRPr="00792FAC" w:rsidRDefault="00E4510B" w:rsidP="006C2604">
            <w:pPr>
              <w:spacing w:line="276" w:lineRule="auto"/>
              <w:jc w:val="center"/>
              <w:rPr>
                <w:rFonts w:ascii="Arial" w:eastAsia="Calibri" w:hAnsi="Arial" w:cs="Arial"/>
                <w:b/>
                <w:bCs/>
                <w:szCs w:val="24"/>
              </w:rPr>
            </w:pPr>
          </w:p>
          <w:p w14:paraId="288F985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27D43B97"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3FEDE9C" w14:textId="77777777" w:rsidR="00E4510B" w:rsidRPr="00792FAC" w:rsidRDefault="00E4510B" w:rsidP="006C2604">
            <w:pPr>
              <w:spacing w:line="276" w:lineRule="auto"/>
              <w:jc w:val="center"/>
              <w:rPr>
                <w:rFonts w:ascii="Arial" w:eastAsia="Calibri" w:hAnsi="Arial" w:cs="Arial"/>
                <w:b/>
                <w:bCs/>
                <w:szCs w:val="24"/>
              </w:rPr>
            </w:pPr>
          </w:p>
          <w:p w14:paraId="33AEB67A"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509B3BD0"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tc>
      </w:tr>
      <w:tr w:rsidR="00E4510B" w:rsidRPr="00792FAC" w14:paraId="56D9A3C3"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70BB8E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AA0B"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55B4F"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CD484"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1BE99" w14:textId="50085B46" w:rsidR="00E4510B" w:rsidRPr="00792FAC" w:rsidRDefault="008D6311" w:rsidP="006C2604">
            <w:pPr>
              <w:spacing w:line="276" w:lineRule="auto"/>
              <w:jc w:val="center"/>
              <w:rPr>
                <w:rFonts w:ascii="Arial" w:eastAsia="Calibri" w:hAnsi="Arial" w:cs="Arial"/>
                <w:szCs w:val="24"/>
              </w:rPr>
            </w:pPr>
            <w:r>
              <w:rPr>
                <w:rFonts w:ascii="Arial" w:eastAsia="Calibri" w:hAnsi="Arial" w:cs="Arial"/>
                <w:szCs w:val="24"/>
              </w:rPr>
              <w:t>2.</w:t>
            </w:r>
            <w:r w:rsidR="00505074">
              <w:rPr>
                <w:rFonts w:ascii="Arial" w:eastAsia="Calibri" w:hAnsi="Arial" w:cs="Arial"/>
                <w:szCs w:val="24"/>
              </w:rPr>
              <w:t>73</w:t>
            </w:r>
          </w:p>
        </w:tc>
      </w:tr>
      <w:tr w:rsidR="00CE0B75" w:rsidRPr="00792FAC" w14:paraId="6ACB229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E05381" w14:textId="06EB02E4" w:rsidR="00CE0B75"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53AF" w14:textId="17C7356B" w:rsidR="00CE0B75" w:rsidRPr="00792FAC" w:rsidRDefault="00CE0B75" w:rsidP="006C2604">
            <w:pPr>
              <w:spacing w:line="276" w:lineRule="auto"/>
              <w:jc w:val="center"/>
              <w:rPr>
                <w:rFonts w:ascii="Arial" w:eastAsia="Calibri" w:hAnsi="Arial" w:cs="Arial"/>
                <w:szCs w:val="24"/>
              </w:rPr>
            </w:pPr>
            <w:r>
              <w:rPr>
                <w:rFonts w:ascii="Arial" w:eastAsia="Calibri" w:hAnsi="Arial" w:cs="Arial"/>
                <w:szCs w:val="24"/>
              </w:rPr>
              <w:t>3.61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1DF0" w14:textId="35EE1D1A" w:rsidR="00CE0B75" w:rsidRPr="00792FAC" w:rsidRDefault="00A63E2A" w:rsidP="006C2604">
            <w:pPr>
              <w:spacing w:line="276" w:lineRule="auto"/>
              <w:jc w:val="center"/>
              <w:rPr>
                <w:rFonts w:ascii="Arial" w:eastAsia="Calibri" w:hAnsi="Arial" w:cs="Arial"/>
                <w:szCs w:val="24"/>
              </w:rPr>
            </w:pPr>
            <w:r>
              <w:rPr>
                <w:rFonts w:ascii="Arial" w:eastAsia="Calibri" w:hAnsi="Arial" w:cs="Arial"/>
                <w:szCs w:val="24"/>
              </w:rPr>
              <w:t>3.40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7754" w14:textId="4601B289" w:rsidR="00CE0B75" w:rsidRPr="00792FAC" w:rsidRDefault="00FB6807" w:rsidP="006C2604">
            <w:pPr>
              <w:spacing w:line="276" w:lineRule="auto"/>
              <w:jc w:val="center"/>
              <w:rPr>
                <w:rFonts w:ascii="Arial" w:eastAsia="Calibri" w:hAnsi="Arial" w:cs="Arial"/>
                <w:szCs w:val="24"/>
              </w:rPr>
            </w:pPr>
            <w:r>
              <w:rPr>
                <w:rFonts w:ascii="Arial" w:eastAsia="Calibri" w:hAnsi="Arial" w:cs="Arial"/>
                <w:szCs w:val="24"/>
              </w:rPr>
              <w:t>2.89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7DA6" w14:textId="2F47E36B" w:rsidR="00CE0B75" w:rsidRDefault="00AE7DFE" w:rsidP="006C2604">
            <w:pPr>
              <w:spacing w:line="276" w:lineRule="auto"/>
              <w:jc w:val="center"/>
              <w:rPr>
                <w:rFonts w:ascii="Arial" w:eastAsia="Calibri" w:hAnsi="Arial" w:cs="Arial"/>
                <w:szCs w:val="24"/>
              </w:rPr>
            </w:pPr>
            <w:r>
              <w:rPr>
                <w:rFonts w:ascii="Arial" w:eastAsia="Calibri" w:hAnsi="Arial" w:cs="Arial"/>
                <w:szCs w:val="24"/>
              </w:rPr>
              <w:t>2.83</w:t>
            </w:r>
          </w:p>
        </w:tc>
      </w:tr>
      <w:tr w:rsidR="005909C6" w:rsidRPr="00792FAC" w14:paraId="4B71694B"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4960FDD" w14:textId="3E6ED103" w:rsidR="005909C6" w:rsidRDefault="005909C6" w:rsidP="006C2604">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B4476" w14:textId="0794860A" w:rsidR="005909C6" w:rsidRDefault="005C10E3" w:rsidP="006C2604">
            <w:pPr>
              <w:spacing w:line="276" w:lineRule="auto"/>
              <w:jc w:val="center"/>
              <w:rPr>
                <w:rFonts w:ascii="Arial" w:eastAsia="Calibri" w:hAnsi="Arial" w:cs="Arial"/>
                <w:szCs w:val="24"/>
              </w:rPr>
            </w:pPr>
            <w:r>
              <w:rPr>
                <w:rFonts w:ascii="Arial" w:eastAsia="Calibri" w:hAnsi="Arial" w:cs="Arial"/>
                <w:szCs w:val="24"/>
              </w:rPr>
              <w:t>2.61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E3F07" w14:textId="3B3C2987" w:rsidR="005909C6" w:rsidRDefault="00AB498E" w:rsidP="006C2604">
            <w:pPr>
              <w:spacing w:line="276" w:lineRule="auto"/>
              <w:jc w:val="center"/>
              <w:rPr>
                <w:rFonts w:ascii="Arial" w:eastAsia="Calibri" w:hAnsi="Arial" w:cs="Arial"/>
                <w:szCs w:val="24"/>
              </w:rPr>
            </w:pPr>
            <w:r>
              <w:rPr>
                <w:rFonts w:ascii="Arial" w:eastAsia="Calibri" w:hAnsi="Arial" w:cs="Arial"/>
                <w:szCs w:val="24"/>
              </w:rPr>
              <w:t>2.52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B4D96A" w14:textId="77777777" w:rsidR="005909C6" w:rsidRDefault="005909C6" w:rsidP="006C2604">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5AAAC" w14:textId="77777777" w:rsidR="005909C6" w:rsidRDefault="005909C6" w:rsidP="006C2604">
            <w:pPr>
              <w:spacing w:line="276" w:lineRule="auto"/>
              <w:jc w:val="center"/>
              <w:rPr>
                <w:rFonts w:ascii="Arial" w:eastAsia="Calibri" w:hAnsi="Arial" w:cs="Arial"/>
                <w:szCs w:val="24"/>
              </w:rPr>
            </w:pPr>
          </w:p>
        </w:tc>
      </w:tr>
    </w:tbl>
    <w:p w14:paraId="65268621" w14:textId="2EFEEC90" w:rsidR="0056302B" w:rsidRDefault="002E7BD0" w:rsidP="002E7BD0">
      <w:pPr>
        <w:pStyle w:val="NoSpacing"/>
        <w:jc w:val="right"/>
        <w:rPr>
          <w:sz w:val="20"/>
          <w:szCs w:val="20"/>
        </w:rPr>
      </w:pPr>
      <w:r w:rsidRPr="002E7BD0">
        <w:rPr>
          <w:sz w:val="20"/>
          <w:szCs w:val="20"/>
        </w:rPr>
        <w:t>Table 4</w:t>
      </w:r>
    </w:p>
    <w:p w14:paraId="04C61074" w14:textId="3D71F833" w:rsidR="00B55C17" w:rsidRDefault="00B55C17" w:rsidP="002E7BD0">
      <w:pPr>
        <w:pStyle w:val="NoSpacing"/>
        <w:jc w:val="right"/>
        <w:rPr>
          <w:sz w:val="20"/>
          <w:szCs w:val="20"/>
        </w:rPr>
      </w:pPr>
    </w:p>
    <w:p w14:paraId="45124B76" w14:textId="77777777" w:rsidR="009201D8" w:rsidRDefault="009201D8" w:rsidP="002E7BD0">
      <w:pPr>
        <w:pStyle w:val="NoSpacing"/>
        <w:jc w:val="right"/>
        <w:rPr>
          <w:sz w:val="20"/>
          <w:szCs w:val="20"/>
        </w:rPr>
      </w:pPr>
    </w:p>
    <w:p w14:paraId="31FCBBF7" w14:textId="77777777" w:rsidR="009201D8" w:rsidRDefault="009201D8" w:rsidP="002E7BD0">
      <w:pPr>
        <w:pStyle w:val="NoSpacing"/>
        <w:jc w:val="right"/>
        <w:rPr>
          <w:sz w:val="20"/>
          <w:szCs w:val="20"/>
        </w:rPr>
      </w:pPr>
    </w:p>
    <w:p w14:paraId="3DB12D08" w14:textId="77777777" w:rsidR="009201D8" w:rsidRDefault="009201D8" w:rsidP="002E7BD0">
      <w:pPr>
        <w:pStyle w:val="NoSpacing"/>
        <w:jc w:val="right"/>
        <w:rPr>
          <w:sz w:val="20"/>
          <w:szCs w:val="20"/>
        </w:rPr>
      </w:pPr>
    </w:p>
    <w:p w14:paraId="3215D683" w14:textId="77777777" w:rsidR="004F71BA" w:rsidRDefault="004F71BA" w:rsidP="002E7BD0">
      <w:pPr>
        <w:pStyle w:val="NoSpacing"/>
        <w:jc w:val="right"/>
        <w:rPr>
          <w:sz w:val="20"/>
          <w:szCs w:val="20"/>
        </w:rPr>
      </w:pPr>
    </w:p>
    <w:p w14:paraId="624999E9" w14:textId="77777777" w:rsidR="004F71BA" w:rsidRDefault="004F71BA" w:rsidP="002E7BD0">
      <w:pPr>
        <w:pStyle w:val="NoSpacing"/>
        <w:jc w:val="right"/>
        <w:rPr>
          <w:sz w:val="20"/>
          <w:szCs w:val="20"/>
        </w:rPr>
      </w:pPr>
    </w:p>
    <w:p w14:paraId="3D2CE640" w14:textId="77777777" w:rsidR="004F71BA" w:rsidRDefault="004F71BA" w:rsidP="002E7BD0">
      <w:pPr>
        <w:pStyle w:val="NoSpacing"/>
        <w:jc w:val="right"/>
        <w:rPr>
          <w:sz w:val="20"/>
          <w:szCs w:val="20"/>
        </w:rPr>
      </w:pPr>
    </w:p>
    <w:p w14:paraId="0FF1DCAF" w14:textId="77777777" w:rsidR="004F71BA" w:rsidRDefault="004F71BA" w:rsidP="002E7BD0">
      <w:pPr>
        <w:pStyle w:val="NoSpacing"/>
        <w:jc w:val="right"/>
        <w:rPr>
          <w:sz w:val="20"/>
          <w:szCs w:val="20"/>
        </w:rPr>
      </w:pPr>
    </w:p>
    <w:p w14:paraId="79FCFF02" w14:textId="77777777" w:rsidR="004F71BA" w:rsidRDefault="004F71BA" w:rsidP="002E7BD0">
      <w:pPr>
        <w:pStyle w:val="NoSpacing"/>
        <w:jc w:val="right"/>
        <w:rPr>
          <w:sz w:val="20"/>
          <w:szCs w:val="20"/>
        </w:rPr>
      </w:pPr>
    </w:p>
    <w:p w14:paraId="39A18A4B" w14:textId="77777777" w:rsidR="004F71BA" w:rsidRDefault="004F71BA" w:rsidP="002E7BD0">
      <w:pPr>
        <w:pStyle w:val="NoSpacing"/>
        <w:jc w:val="right"/>
        <w:rPr>
          <w:sz w:val="20"/>
          <w:szCs w:val="20"/>
        </w:rPr>
      </w:pPr>
    </w:p>
    <w:p w14:paraId="7F760CB6" w14:textId="77777777" w:rsidR="004F71BA" w:rsidRDefault="004F71BA" w:rsidP="002E7BD0">
      <w:pPr>
        <w:pStyle w:val="NoSpacing"/>
        <w:jc w:val="right"/>
        <w:rPr>
          <w:sz w:val="20"/>
          <w:szCs w:val="20"/>
        </w:rPr>
      </w:pPr>
    </w:p>
    <w:p w14:paraId="21EEF26F" w14:textId="77777777" w:rsidR="004F71BA" w:rsidRDefault="004F71BA" w:rsidP="002E7BD0">
      <w:pPr>
        <w:pStyle w:val="NoSpacing"/>
        <w:jc w:val="right"/>
        <w:rPr>
          <w:sz w:val="20"/>
          <w:szCs w:val="20"/>
        </w:rPr>
      </w:pPr>
    </w:p>
    <w:p w14:paraId="6E2145D4" w14:textId="77777777" w:rsidR="004F71BA" w:rsidRDefault="004F71BA" w:rsidP="002E7BD0">
      <w:pPr>
        <w:pStyle w:val="NoSpacing"/>
        <w:jc w:val="right"/>
        <w:rPr>
          <w:sz w:val="20"/>
          <w:szCs w:val="20"/>
        </w:rPr>
      </w:pPr>
    </w:p>
    <w:p w14:paraId="1ECFE053" w14:textId="77777777" w:rsidR="004F71BA" w:rsidRDefault="004F71BA" w:rsidP="002E7BD0">
      <w:pPr>
        <w:pStyle w:val="NoSpacing"/>
        <w:jc w:val="right"/>
        <w:rPr>
          <w:sz w:val="20"/>
          <w:szCs w:val="20"/>
        </w:rPr>
      </w:pPr>
    </w:p>
    <w:p w14:paraId="77886F3C" w14:textId="77777777" w:rsidR="004F71BA" w:rsidRDefault="004F71BA" w:rsidP="002E7BD0">
      <w:pPr>
        <w:pStyle w:val="NoSpacing"/>
        <w:jc w:val="right"/>
        <w:rPr>
          <w:sz w:val="20"/>
          <w:szCs w:val="20"/>
        </w:rPr>
      </w:pPr>
    </w:p>
    <w:p w14:paraId="1B06DC5E" w14:textId="77777777" w:rsidR="004F71BA" w:rsidRDefault="004F71BA" w:rsidP="002E7BD0">
      <w:pPr>
        <w:pStyle w:val="NoSpacing"/>
        <w:jc w:val="right"/>
        <w:rPr>
          <w:sz w:val="20"/>
          <w:szCs w:val="20"/>
        </w:rPr>
      </w:pPr>
    </w:p>
    <w:p w14:paraId="5057DC92" w14:textId="77777777" w:rsidR="008B7A70" w:rsidRDefault="008B7A70" w:rsidP="002E7BD0">
      <w:pPr>
        <w:pStyle w:val="NoSpacing"/>
        <w:jc w:val="right"/>
        <w:rPr>
          <w:sz w:val="20"/>
          <w:szCs w:val="20"/>
        </w:rPr>
      </w:pPr>
    </w:p>
    <w:p w14:paraId="35B8ACF0" w14:textId="77777777" w:rsidR="008B7A70" w:rsidRDefault="008B7A70" w:rsidP="002E7BD0">
      <w:pPr>
        <w:pStyle w:val="NoSpacing"/>
        <w:jc w:val="right"/>
        <w:rPr>
          <w:sz w:val="20"/>
          <w:szCs w:val="20"/>
        </w:rPr>
      </w:pPr>
    </w:p>
    <w:p w14:paraId="0FB1A66C" w14:textId="77777777" w:rsidR="008B7A70" w:rsidRDefault="008B7A70" w:rsidP="002E7BD0">
      <w:pPr>
        <w:pStyle w:val="NoSpacing"/>
        <w:jc w:val="right"/>
        <w:rPr>
          <w:sz w:val="20"/>
          <w:szCs w:val="20"/>
        </w:rPr>
      </w:pPr>
    </w:p>
    <w:p w14:paraId="135DDABB" w14:textId="77777777" w:rsidR="008B7A70" w:rsidRDefault="008B7A70" w:rsidP="002E7BD0">
      <w:pPr>
        <w:pStyle w:val="NoSpacing"/>
        <w:jc w:val="right"/>
        <w:rPr>
          <w:sz w:val="20"/>
          <w:szCs w:val="20"/>
        </w:rPr>
      </w:pPr>
    </w:p>
    <w:p w14:paraId="29CC03A3" w14:textId="77777777" w:rsidR="008B7A70" w:rsidRDefault="008B7A70" w:rsidP="002E7BD0">
      <w:pPr>
        <w:pStyle w:val="NoSpacing"/>
        <w:jc w:val="right"/>
        <w:rPr>
          <w:sz w:val="20"/>
          <w:szCs w:val="20"/>
        </w:rPr>
      </w:pPr>
    </w:p>
    <w:p w14:paraId="56CF868B" w14:textId="14D94E56" w:rsidR="00035251" w:rsidRDefault="00035251" w:rsidP="0092344A">
      <w:pPr>
        <w:jc w:val="right"/>
        <w:rPr>
          <w:rFonts w:ascii="Arial" w:eastAsiaTheme="minorHAnsi" w:hAnsi="Arial" w:cs="Arial"/>
          <w:b/>
          <w:bCs/>
          <w:szCs w:val="24"/>
          <w:lang w:eastAsia="en-US"/>
        </w:rPr>
      </w:pPr>
      <w:r>
        <w:rPr>
          <w:rFonts w:ascii="Arial" w:eastAsiaTheme="minorHAnsi" w:hAnsi="Arial" w:cs="Arial"/>
          <w:b/>
          <w:bCs/>
          <w:szCs w:val="24"/>
          <w:lang w:eastAsia="en-US"/>
        </w:rPr>
        <w:lastRenderedPageBreak/>
        <w:t>Appendix C</w:t>
      </w:r>
    </w:p>
    <w:p w14:paraId="62E41AA4" w14:textId="77777777" w:rsidR="00664DFF" w:rsidRDefault="00664DFF" w:rsidP="0092344A">
      <w:pPr>
        <w:jc w:val="right"/>
        <w:rPr>
          <w:rFonts w:ascii="Arial" w:eastAsiaTheme="minorHAnsi" w:hAnsi="Arial" w:cs="Arial"/>
          <w:b/>
          <w:bCs/>
          <w:szCs w:val="24"/>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07"/>
      </w:tblGrid>
      <w:tr w:rsidR="00035251" w:rsidRPr="00575C9C" w14:paraId="2F51EEBC" w14:textId="77777777" w:rsidTr="00B61601">
        <w:trPr>
          <w:trHeight w:val="1550"/>
        </w:trPr>
        <w:tc>
          <w:tcPr>
            <w:tcW w:w="3261" w:type="dxa"/>
            <w:shd w:val="clear" w:color="auto" w:fill="auto"/>
          </w:tcPr>
          <w:p w14:paraId="2DD64F48" w14:textId="77777777" w:rsidR="00035251" w:rsidRPr="00575C9C" w:rsidRDefault="00035251" w:rsidP="00662A09">
            <w:pPr>
              <w:rPr>
                <w:rFonts w:ascii="Arial" w:hAnsi="Arial" w:cs="Arial"/>
                <w:b/>
                <w:color w:val="000000"/>
                <w:sz w:val="36"/>
                <w:szCs w:val="36"/>
              </w:rPr>
            </w:pPr>
            <w:bookmarkStart w:id="9" w:name="_Hlk46423811"/>
            <w:r>
              <w:rPr>
                <w:rFonts w:ascii="Arial" w:hAnsi="Arial" w:cs="Arial"/>
                <w:b/>
                <w:noProof/>
                <w:color w:val="000000"/>
                <w:sz w:val="36"/>
                <w:szCs w:val="36"/>
              </w:rPr>
              <w:drawing>
                <wp:inline distT="0" distB="0" distL="0" distR="0" wp14:anchorId="45A11A48" wp14:editId="507A225C">
                  <wp:extent cx="1798320" cy="914400"/>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6407" w:type="dxa"/>
            <w:shd w:val="clear" w:color="auto" w:fill="auto"/>
          </w:tcPr>
          <w:p w14:paraId="11AC5679" w14:textId="77777777" w:rsidR="00035251" w:rsidRPr="00575C9C" w:rsidRDefault="00035251" w:rsidP="00662A09">
            <w:pPr>
              <w:rPr>
                <w:rFonts w:ascii="Calibri" w:hAnsi="Calibri" w:cs="Calibri"/>
                <w:b/>
                <w:i/>
                <w:color w:val="000000"/>
                <w:sz w:val="10"/>
                <w:szCs w:val="10"/>
              </w:rPr>
            </w:pPr>
          </w:p>
          <w:p w14:paraId="7E020A4C" w14:textId="47B71BBC" w:rsidR="00035251" w:rsidRPr="006D1C1E" w:rsidRDefault="00035251" w:rsidP="00662A09">
            <w:pPr>
              <w:rPr>
                <w:rFonts w:ascii="Calibri" w:hAnsi="Calibri" w:cs="Arial"/>
                <w:b/>
                <w:i/>
                <w:color w:val="000000"/>
                <w:sz w:val="48"/>
                <w:szCs w:val="48"/>
              </w:rPr>
            </w:pPr>
            <w:r>
              <w:rPr>
                <w:rFonts w:ascii="Calibri" w:hAnsi="Calibri" w:cs="Arial"/>
                <w:b/>
                <w:i/>
                <w:color w:val="000000"/>
                <w:sz w:val="48"/>
                <w:szCs w:val="48"/>
              </w:rPr>
              <w:t>Gender Pay Gap Report 2023</w:t>
            </w:r>
          </w:p>
        </w:tc>
      </w:tr>
    </w:tbl>
    <w:p w14:paraId="75407624" w14:textId="77777777" w:rsidR="00035251" w:rsidRDefault="00035251" w:rsidP="00035251">
      <w:pPr>
        <w:rPr>
          <w:rFonts w:ascii="Arial" w:hAnsi="Arial" w:cs="Arial"/>
          <w:b/>
          <w:sz w:val="28"/>
          <w:szCs w:val="28"/>
        </w:rPr>
      </w:pPr>
    </w:p>
    <w:p w14:paraId="450126BC" w14:textId="4E7987B5" w:rsidR="00035251" w:rsidRPr="003E19DD" w:rsidRDefault="00035251" w:rsidP="00B61601">
      <w:pPr>
        <w:spacing w:after="200" w:line="276" w:lineRule="auto"/>
        <w:jc w:val="both"/>
        <w:rPr>
          <w:rFonts w:ascii="Arial" w:eastAsiaTheme="minorEastAsia" w:hAnsi="Arial" w:cs="Arial"/>
          <w:b/>
          <w:bCs/>
        </w:rPr>
      </w:pPr>
      <w:bookmarkStart w:id="10" w:name="_Hlk89079407"/>
      <w:r w:rsidRPr="4E3E9867">
        <w:rPr>
          <w:rFonts w:ascii="Arial" w:eastAsiaTheme="minorEastAsia" w:hAnsi="Arial" w:cs="Arial"/>
        </w:rPr>
        <w:t xml:space="preserve">High Life Highland </w:t>
      </w:r>
      <w:r w:rsidR="00B61601">
        <w:rPr>
          <w:rFonts w:ascii="Arial" w:eastAsiaTheme="minorEastAsia" w:hAnsi="Arial" w:cs="Arial"/>
        </w:rPr>
        <w:t xml:space="preserve">(HLH) </w:t>
      </w:r>
      <w:r w:rsidRPr="4E3E9867">
        <w:rPr>
          <w:rFonts w:ascii="Arial" w:eastAsiaTheme="minorEastAsia" w:hAnsi="Arial" w:cs="Arial"/>
        </w:rPr>
        <w:t xml:space="preserve">is a charity registered in Scotland, formed on the 1 October 2011 by The Highland Council to develop and promote opportunities in culture, learning, sport, leisure, </w:t>
      </w:r>
      <w:bookmarkStart w:id="11" w:name="_Int_gfr6f5Ac"/>
      <w:proofErr w:type="gramStart"/>
      <w:r w:rsidRPr="4E3E9867">
        <w:rPr>
          <w:rFonts w:ascii="Arial" w:eastAsiaTheme="minorEastAsia" w:hAnsi="Arial" w:cs="Arial"/>
        </w:rPr>
        <w:t>health</w:t>
      </w:r>
      <w:bookmarkEnd w:id="11"/>
      <w:proofErr w:type="gramEnd"/>
      <w:r w:rsidRPr="4E3E9867">
        <w:rPr>
          <w:rFonts w:ascii="Arial" w:eastAsiaTheme="minorEastAsia" w:hAnsi="Arial" w:cs="Arial"/>
        </w:rPr>
        <w:t xml:space="preserve"> and wellbeing throughout the Highland</w:t>
      </w:r>
      <w:r w:rsidR="00C75D87" w:rsidRPr="4E3E9867">
        <w:rPr>
          <w:rFonts w:ascii="Arial" w:eastAsiaTheme="minorEastAsia" w:hAnsi="Arial" w:cs="Arial"/>
        </w:rPr>
        <w:t xml:space="preserve"> Council </w:t>
      </w:r>
      <w:r w:rsidR="001D0AAD">
        <w:rPr>
          <w:rFonts w:ascii="Arial" w:eastAsiaTheme="minorEastAsia" w:hAnsi="Arial" w:cs="Arial"/>
        </w:rPr>
        <w:t>a</w:t>
      </w:r>
      <w:r w:rsidR="00C75D87" w:rsidRPr="4E3E9867">
        <w:rPr>
          <w:rFonts w:ascii="Arial" w:eastAsiaTheme="minorEastAsia" w:hAnsi="Arial" w:cs="Arial"/>
        </w:rPr>
        <w:t>rea</w:t>
      </w:r>
      <w:r w:rsidR="00C21B3B" w:rsidRPr="4E3E9867">
        <w:rPr>
          <w:rFonts w:ascii="Arial" w:eastAsiaTheme="minorEastAsia" w:hAnsi="Arial" w:cs="Arial"/>
        </w:rPr>
        <w:t xml:space="preserve">. </w:t>
      </w:r>
    </w:p>
    <w:p w14:paraId="5837C440" w14:textId="77777777" w:rsidR="00035251" w:rsidRPr="003E19DD" w:rsidRDefault="00035251" w:rsidP="00B61601">
      <w:pPr>
        <w:spacing w:line="276" w:lineRule="auto"/>
        <w:jc w:val="both"/>
        <w:rPr>
          <w:rFonts w:ascii="Arial" w:eastAsiaTheme="minorHAnsi" w:hAnsi="Arial" w:cs="Arial"/>
          <w:szCs w:val="24"/>
        </w:rPr>
      </w:pPr>
      <w:r w:rsidRPr="003E19DD">
        <w:rPr>
          <w:rFonts w:ascii="Arial" w:eastAsiaTheme="minorHAnsi" w:hAnsi="Arial" w:cs="Arial"/>
          <w:szCs w:val="24"/>
        </w:rPr>
        <w:t>The Gender Pay Gap data supplied is correct for all employees in post with High Life Highland on 31 March 20</w:t>
      </w:r>
      <w:r>
        <w:rPr>
          <w:rFonts w:ascii="Arial" w:eastAsiaTheme="minorHAnsi" w:hAnsi="Arial" w:cs="Arial"/>
          <w:szCs w:val="24"/>
        </w:rPr>
        <w:t>23</w:t>
      </w:r>
      <w:r w:rsidRPr="003E19DD">
        <w:rPr>
          <w:rFonts w:ascii="Arial" w:eastAsiaTheme="minorHAnsi" w:hAnsi="Arial" w:cs="Arial"/>
          <w:szCs w:val="24"/>
        </w:rPr>
        <w:t xml:space="preserve">. </w:t>
      </w:r>
    </w:p>
    <w:p w14:paraId="6E70AFCD" w14:textId="77777777" w:rsidR="00035251" w:rsidRPr="003E19DD" w:rsidRDefault="00035251" w:rsidP="00B61601">
      <w:pPr>
        <w:spacing w:line="276" w:lineRule="auto"/>
        <w:jc w:val="both"/>
        <w:rPr>
          <w:rFonts w:ascii="Arial" w:eastAsiaTheme="minorHAnsi" w:hAnsi="Arial" w:cs="Arial"/>
          <w:szCs w:val="24"/>
        </w:rPr>
      </w:pPr>
    </w:p>
    <w:p w14:paraId="74154288" w14:textId="77777777" w:rsidR="00035251" w:rsidRPr="003E19DD" w:rsidRDefault="00035251" w:rsidP="00B61601">
      <w:pPr>
        <w:spacing w:line="276" w:lineRule="auto"/>
        <w:jc w:val="both"/>
        <w:rPr>
          <w:rFonts w:ascii="Arial" w:eastAsiaTheme="minorHAnsi" w:hAnsi="Arial" w:cs="Arial"/>
          <w:szCs w:val="24"/>
        </w:rPr>
      </w:pPr>
      <w:r w:rsidRPr="003E19DD">
        <w:rPr>
          <w:rFonts w:ascii="Arial" w:eastAsiaTheme="minorHAnsi" w:hAnsi="Arial" w:cs="Arial"/>
          <w:szCs w:val="24"/>
        </w:rPr>
        <w:t xml:space="preserve">On that date there were </w:t>
      </w:r>
      <w:r>
        <w:rPr>
          <w:rFonts w:ascii="Arial" w:eastAsiaTheme="minorHAnsi" w:hAnsi="Arial" w:cs="Arial"/>
          <w:szCs w:val="24"/>
        </w:rPr>
        <w:t>878</w:t>
      </w:r>
      <w:r w:rsidRPr="003E19DD">
        <w:rPr>
          <w:rFonts w:ascii="Arial" w:eastAsiaTheme="minorHAnsi" w:hAnsi="Arial" w:cs="Arial"/>
          <w:szCs w:val="24"/>
        </w:rPr>
        <w:t xml:space="preserve"> relevant and full-pay relevant employees, </w:t>
      </w:r>
      <w:r>
        <w:rPr>
          <w:rFonts w:ascii="Arial" w:eastAsiaTheme="minorHAnsi" w:hAnsi="Arial" w:cs="Arial"/>
          <w:szCs w:val="24"/>
        </w:rPr>
        <w:t>284</w:t>
      </w:r>
      <w:r w:rsidRPr="003E19DD">
        <w:rPr>
          <w:rFonts w:ascii="Arial" w:eastAsiaTheme="minorHAnsi" w:hAnsi="Arial" w:cs="Arial"/>
          <w:szCs w:val="24"/>
        </w:rPr>
        <w:t xml:space="preserve"> (</w:t>
      </w:r>
      <w:r>
        <w:rPr>
          <w:rFonts w:ascii="Arial" w:eastAsiaTheme="minorHAnsi" w:hAnsi="Arial" w:cs="Arial"/>
          <w:szCs w:val="24"/>
        </w:rPr>
        <w:t>32</w:t>
      </w:r>
      <w:r w:rsidRPr="003E19DD">
        <w:rPr>
          <w:rFonts w:ascii="Arial" w:eastAsiaTheme="minorHAnsi" w:hAnsi="Arial" w:cs="Arial"/>
          <w:szCs w:val="24"/>
        </w:rPr>
        <w:t xml:space="preserve">%) males and </w:t>
      </w:r>
      <w:r>
        <w:rPr>
          <w:rFonts w:ascii="Arial" w:eastAsiaTheme="minorHAnsi" w:hAnsi="Arial" w:cs="Arial"/>
          <w:szCs w:val="24"/>
        </w:rPr>
        <w:t>591</w:t>
      </w:r>
      <w:r w:rsidRPr="003E19DD">
        <w:rPr>
          <w:rFonts w:ascii="Arial" w:eastAsiaTheme="minorHAnsi" w:hAnsi="Arial" w:cs="Arial"/>
          <w:szCs w:val="24"/>
        </w:rPr>
        <w:t xml:space="preserve"> females (</w:t>
      </w:r>
      <w:r>
        <w:rPr>
          <w:rFonts w:ascii="Arial" w:eastAsiaTheme="minorHAnsi" w:hAnsi="Arial" w:cs="Arial"/>
          <w:szCs w:val="24"/>
        </w:rPr>
        <w:t>68</w:t>
      </w:r>
      <w:r w:rsidRPr="003E19DD">
        <w:rPr>
          <w:rFonts w:ascii="Arial" w:eastAsiaTheme="minorHAnsi" w:hAnsi="Arial" w:cs="Arial"/>
          <w:szCs w:val="24"/>
        </w:rPr>
        <w:t xml:space="preserve">%). </w:t>
      </w:r>
    </w:p>
    <w:p w14:paraId="6EA64D5F" w14:textId="77777777" w:rsidR="00035251" w:rsidRPr="003E19DD" w:rsidRDefault="00035251" w:rsidP="00B61601">
      <w:pPr>
        <w:spacing w:line="276" w:lineRule="auto"/>
        <w:jc w:val="both"/>
        <w:rPr>
          <w:rFonts w:ascii="Arial" w:eastAsiaTheme="minorHAnsi" w:hAnsi="Arial" w:cs="Arial"/>
          <w:szCs w:val="24"/>
        </w:rPr>
      </w:pPr>
    </w:p>
    <w:p w14:paraId="7CF319FD" w14:textId="77777777" w:rsidR="00035251" w:rsidRPr="003E19DD" w:rsidRDefault="00035251" w:rsidP="00B61601">
      <w:pPr>
        <w:spacing w:line="276" w:lineRule="auto"/>
        <w:jc w:val="both"/>
        <w:rPr>
          <w:rFonts w:ascii="Arial" w:eastAsiaTheme="minorHAnsi" w:hAnsi="Arial" w:cs="Arial"/>
          <w:szCs w:val="24"/>
        </w:rPr>
      </w:pPr>
      <w:r w:rsidRPr="003E19DD">
        <w:rPr>
          <w:rFonts w:ascii="Arial" w:hAnsi="Arial" w:cs="Arial"/>
          <w:color w:val="000000"/>
          <w:szCs w:val="24"/>
        </w:rPr>
        <w:t>The figures set out below have been calculated using the standard calculations used in the Equality Act 2010 (Gender Pay Gap Information) Regulations 2017.</w:t>
      </w:r>
    </w:p>
    <w:p w14:paraId="1538EF15" w14:textId="77777777" w:rsidR="00035251" w:rsidRPr="003E19DD" w:rsidRDefault="00035251" w:rsidP="00B61601">
      <w:pPr>
        <w:spacing w:line="276" w:lineRule="auto"/>
        <w:jc w:val="both"/>
        <w:rPr>
          <w:rFonts w:ascii="Arial" w:eastAsiaTheme="minorHAnsi" w:hAnsi="Arial" w:cs="Arial"/>
          <w:b/>
          <w:szCs w:val="24"/>
        </w:rPr>
      </w:pPr>
    </w:p>
    <w:p w14:paraId="4438A8F5" w14:textId="77777777" w:rsidR="00035251" w:rsidRPr="003E19DD" w:rsidRDefault="00035251" w:rsidP="00035251">
      <w:pPr>
        <w:spacing w:line="276" w:lineRule="auto"/>
        <w:rPr>
          <w:rFonts w:ascii="Arial" w:eastAsiaTheme="minorHAnsi" w:hAnsi="Arial" w:cs="Arial"/>
          <w:b/>
          <w:szCs w:val="24"/>
        </w:rPr>
      </w:pPr>
      <w:r w:rsidRPr="003E19DD">
        <w:rPr>
          <w:rFonts w:ascii="Arial" w:eastAsiaTheme="minorHAnsi" w:hAnsi="Arial" w:cs="Arial"/>
          <w:b/>
          <w:szCs w:val="24"/>
        </w:rPr>
        <w:t>Pay and Bonus Gap</w:t>
      </w:r>
    </w:p>
    <w:p w14:paraId="4CB69EE9" w14:textId="77777777" w:rsidR="00035251" w:rsidRPr="003E19DD" w:rsidRDefault="00035251" w:rsidP="00035251">
      <w:pPr>
        <w:spacing w:line="276" w:lineRule="auto"/>
        <w:rPr>
          <w:rFonts w:ascii="Arial" w:eastAsiaTheme="minorHAnsi" w:hAnsi="Arial" w:cs="Arial"/>
          <w:b/>
          <w:szCs w:val="24"/>
        </w:rPr>
      </w:pPr>
    </w:p>
    <w:tbl>
      <w:tblPr>
        <w:tblStyle w:val="TableGrid11"/>
        <w:tblW w:w="9776" w:type="dxa"/>
        <w:tblLook w:val="04A0" w:firstRow="1" w:lastRow="0" w:firstColumn="1" w:lastColumn="0" w:noHBand="0" w:noVBand="1"/>
      </w:tblPr>
      <w:tblGrid>
        <w:gridCol w:w="3080"/>
        <w:gridCol w:w="3081"/>
        <w:gridCol w:w="3615"/>
      </w:tblGrid>
      <w:tr w:rsidR="00035251" w:rsidRPr="003E19DD" w14:paraId="0579879D" w14:textId="77777777" w:rsidTr="00B61601">
        <w:tc>
          <w:tcPr>
            <w:tcW w:w="9776" w:type="dxa"/>
            <w:gridSpan w:val="3"/>
          </w:tcPr>
          <w:p w14:paraId="14FB3DAB" w14:textId="77777777" w:rsidR="00035251" w:rsidRPr="003E19DD" w:rsidRDefault="00035251" w:rsidP="00662A09">
            <w:pPr>
              <w:spacing w:line="276" w:lineRule="auto"/>
              <w:jc w:val="center"/>
              <w:rPr>
                <w:rFonts w:ascii="Arial" w:hAnsi="Arial" w:cs="Arial"/>
                <w:szCs w:val="24"/>
              </w:rPr>
            </w:pPr>
            <w:r w:rsidRPr="003E19DD">
              <w:rPr>
                <w:rFonts w:ascii="Arial" w:hAnsi="Arial" w:cs="Arial"/>
                <w:szCs w:val="24"/>
              </w:rPr>
              <w:t>Difference between male and female</w:t>
            </w:r>
          </w:p>
        </w:tc>
      </w:tr>
      <w:tr w:rsidR="00035251" w:rsidRPr="003E19DD" w14:paraId="7FA041D9" w14:textId="77777777" w:rsidTr="00B61601">
        <w:tc>
          <w:tcPr>
            <w:tcW w:w="3080" w:type="dxa"/>
          </w:tcPr>
          <w:p w14:paraId="2254583F" w14:textId="77777777" w:rsidR="00035251" w:rsidRPr="003E19DD" w:rsidRDefault="00035251" w:rsidP="00662A09">
            <w:pPr>
              <w:spacing w:line="276" w:lineRule="auto"/>
              <w:rPr>
                <w:rFonts w:ascii="Arial" w:hAnsi="Arial" w:cs="Arial"/>
                <w:szCs w:val="24"/>
              </w:rPr>
            </w:pPr>
          </w:p>
        </w:tc>
        <w:tc>
          <w:tcPr>
            <w:tcW w:w="3081" w:type="dxa"/>
          </w:tcPr>
          <w:p w14:paraId="18CA23EF" w14:textId="77777777" w:rsidR="00035251" w:rsidRPr="003E19DD" w:rsidRDefault="00035251" w:rsidP="00662A09">
            <w:pPr>
              <w:spacing w:line="276" w:lineRule="auto"/>
              <w:rPr>
                <w:rFonts w:ascii="Arial" w:hAnsi="Arial" w:cs="Arial"/>
                <w:szCs w:val="24"/>
              </w:rPr>
            </w:pPr>
            <w:r w:rsidRPr="003E19DD">
              <w:rPr>
                <w:rFonts w:ascii="Arial" w:hAnsi="Arial" w:cs="Arial"/>
                <w:szCs w:val="24"/>
              </w:rPr>
              <w:t>Mean</w:t>
            </w:r>
          </w:p>
        </w:tc>
        <w:tc>
          <w:tcPr>
            <w:tcW w:w="3615" w:type="dxa"/>
          </w:tcPr>
          <w:p w14:paraId="1DD14066" w14:textId="77777777" w:rsidR="00035251" w:rsidRPr="003E19DD" w:rsidRDefault="00035251" w:rsidP="00662A09">
            <w:pPr>
              <w:spacing w:line="276" w:lineRule="auto"/>
              <w:rPr>
                <w:rFonts w:ascii="Arial" w:hAnsi="Arial" w:cs="Arial"/>
                <w:szCs w:val="24"/>
              </w:rPr>
            </w:pPr>
            <w:r w:rsidRPr="003E19DD">
              <w:rPr>
                <w:rFonts w:ascii="Arial" w:hAnsi="Arial" w:cs="Arial"/>
                <w:szCs w:val="24"/>
              </w:rPr>
              <w:t>Median</w:t>
            </w:r>
          </w:p>
        </w:tc>
      </w:tr>
      <w:tr w:rsidR="00035251" w:rsidRPr="003E19DD" w14:paraId="246296D2" w14:textId="77777777" w:rsidTr="00B61601">
        <w:tc>
          <w:tcPr>
            <w:tcW w:w="3080" w:type="dxa"/>
          </w:tcPr>
          <w:p w14:paraId="420B15E5" w14:textId="77777777" w:rsidR="00035251" w:rsidRPr="003E19DD" w:rsidRDefault="00035251" w:rsidP="00662A09">
            <w:pPr>
              <w:spacing w:line="276" w:lineRule="auto"/>
              <w:rPr>
                <w:rFonts w:ascii="Arial" w:hAnsi="Arial" w:cs="Arial"/>
                <w:szCs w:val="24"/>
              </w:rPr>
            </w:pPr>
            <w:r w:rsidRPr="003E19DD">
              <w:rPr>
                <w:rFonts w:ascii="Arial" w:hAnsi="Arial" w:cs="Arial"/>
                <w:szCs w:val="24"/>
              </w:rPr>
              <w:t>Hourly fixed pay</w:t>
            </w:r>
          </w:p>
        </w:tc>
        <w:tc>
          <w:tcPr>
            <w:tcW w:w="3081" w:type="dxa"/>
          </w:tcPr>
          <w:p w14:paraId="3E53D9F8" w14:textId="77777777" w:rsidR="00035251" w:rsidRPr="003E19DD" w:rsidRDefault="00035251" w:rsidP="00662A09">
            <w:pPr>
              <w:spacing w:line="276" w:lineRule="auto"/>
              <w:rPr>
                <w:rFonts w:ascii="Arial" w:hAnsi="Arial" w:cs="Arial"/>
                <w:szCs w:val="24"/>
              </w:rPr>
            </w:pPr>
            <w:r>
              <w:rPr>
                <w:rFonts w:ascii="Arial" w:hAnsi="Arial" w:cs="Arial"/>
                <w:szCs w:val="24"/>
              </w:rPr>
              <w:t>9.9%</w:t>
            </w:r>
          </w:p>
        </w:tc>
        <w:tc>
          <w:tcPr>
            <w:tcW w:w="3615" w:type="dxa"/>
          </w:tcPr>
          <w:p w14:paraId="31DDC886" w14:textId="615D1474" w:rsidR="00035251" w:rsidRPr="003E19DD" w:rsidRDefault="00035251" w:rsidP="00662A09">
            <w:pPr>
              <w:spacing w:line="276" w:lineRule="auto"/>
              <w:rPr>
                <w:rFonts w:ascii="Arial" w:hAnsi="Arial" w:cs="Arial"/>
                <w:szCs w:val="24"/>
              </w:rPr>
            </w:pPr>
            <w:r>
              <w:rPr>
                <w:rFonts w:ascii="Arial" w:hAnsi="Arial" w:cs="Arial"/>
                <w:szCs w:val="24"/>
              </w:rPr>
              <w:t>17.</w:t>
            </w:r>
            <w:r w:rsidR="00D57E8B">
              <w:rPr>
                <w:rFonts w:ascii="Arial" w:hAnsi="Arial" w:cs="Arial"/>
                <w:szCs w:val="24"/>
              </w:rPr>
              <w:t>0</w:t>
            </w:r>
            <w:r w:rsidRPr="003E19DD">
              <w:rPr>
                <w:rFonts w:ascii="Arial" w:hAnsi="Arial" w:cs="Arial"/>
                <w:szCs w:val="24"/>
              </w:rPr>
              <w:t>%</w:t>
            </w:r>
          </w:p>
        </w:tc>
      </w:tr>
      <w:tr w:rsidR="00035251" w:rsidRPr="003E19DD" w14:paraId="2506F1A1" w14:textId="77777777" w:rsidTr="00B61601">
        <w:tc>
          <w:tcPr>
            <w:tcW w:w="3080" w:type="dxa"/>
          </w:tcPr>
          <w:p w14:paraId="7540BD78" w14:textId="77777777" w:rsidR="00035251" w:rsidRPr="003E19DD" w:rsidRDefault="00035251" w:rsidP="00662A09">
            <w:pPr>
              <w:spacing w:line="276" w:lineRule="auto"/>
              <w:rPr>
                <w:rFonts w:ascii="Arial" w:hAnsi="Arial" w:cs="Arial"/>
                <w:szCs w:val="24"/>
              </w:rPr>
            </w:pPr>
            <w:r w:rsidRPr="003E19DD">
              <w:rPr>
                <w:rFonts w:ascii="Arial" w:hAnsi="Arial" w:cs="Arial"/>
                <w:szCs w:val="24"/>
              </w:rPr>
              <w:t>Bonus paid</w:t>
            </w:r>
          </w:p>
        </w:tc>
        <w:tc>
          <w:tcPr>
            <w:tcW w:w="3081" w:type="dxa"/>
          </w:tcPr>
          <w:p w14:paraId="4FB193DD" w14:textId="77777777" w:rsidR="00035251" w:rsidRPr="003E19DD" w:rsidRDefault="00035251" w:rsidP="00662A09">
            <w:pPr>
              <w:spacing w:line="276" w:lineRule="auto"/>
              <w:rPr>
                <w:rFonts w:ascii="Arial" w:hAnsi="Arial" w:cs="Arial"/>
                <w:szCs w:val="24"/>
              </w:rPr>
            </w:pPr>
            <w:r w:rsidRPr="003E19DD">
              <w:rPr>
                <w:rFonts w:ascii="Arial" w:hAnsi="Arial" w:cs="Arial"/>
                <w:szCs w:val="24"/>
              </w:rPr>
              <w:t>0%</w:t>
            </w:r>
          </w:p>
        </w:tc>
        <w:tc>
          <w:tcPr>
            <w:tcW w:w="3615" w:type="dxa"/>
          </w:tcPr>
          <w:p w14:paraId="6A825515" w14:textId="77777777" w:rsidR="00035251" w:rsidRPr="003E19DD" w:rsidRDefault="00035251" w:rsidP="00662A09">
            <w:pPr>
              <w:spacing w:line="276" w:lineRule="auto"/>
              <w:rPr>
                <w:rFonts w:ascii="Arial" w:hAnsi="Arial" w:cs="Arial"/>
                <w:szCs w:val="24"/>
              </w:rPr>
            </w:pPr>
            <w:r w:rsidRPr="003E19DD">
              <w:rPr>
                <w:rFonts w:ascii="Arial" w:hAnsi="Arial" w:cs="Arial"/>
                <w:szCs w:val="24"/>
              </w:rPr>
              <w:t>0%</w:t>
            </w:r>
          </w:p>
        </w:tc>
      </w:tr>
    </w:tbl>
    <w:p w14:paraId="16706FA7" w14:textId="77777777" w:rsidR="00035251" w:rsidRPr="004C7EC4" w:rsidRDefault="00035251" w:rsidP="00035251">
      <w:pPr>
        <w:pStyle w:val="ListParagraph"/>
        <w:numPr>
          <w:ilvl w:val="0"/>
          <w:numId w:val="34"/>
        </w:numPr>
        <w:spacing w:before="192" w:after="192"/>
        <w:contextualSpacing w:val="0"/>
        <w:rPr>
          <w:rFonts w:ascii="Arial" w:hAnsi="Arial" w:cs="Arial"/>
          <w:szCs w:val="24"/>
          <w:lang w:val="en" w:eastAsia="en-GB"/>
        </w:rPr>
      </w:pPr>
      <w:r w:rsidRPr="004C7EC4">
        <w:rPr>
          <w:rFonts w:ascii="Arial" w:hAnsi="Arial" w:cs="Arial"/>
          <w:szCs w:val="24"/>
          <w:lang w:val="en" w:eastAsia="en-GB"/>
        </w:rPr>
        <w:t xml:space="preserve">The table above shows High Life Highland’s mean and median gender pay gap based on hourly rates of pay.  </w:t>
      </w:r>
    </w:p>
    <w:p w14:paraId="72781C0D" w14:textId="77777777" w:rsidR="00035251" w:rsidRPr="004C7EC4" w:rsidRDefault="00035251" w:rsidP="00035251">
      <w:pPr>
        <w:pStyle w:val="ListParagraph"/>
        <w:numPr>
          <w:ilvl w:val="0"/>
          <w:numId w:val="34"/>
        </w:numPr>
        <w:spacing w:before="192" w:after="192"/>
        <w:contextualSpacing w:val="0"/>
        <w:rPr>
          <w:rFonts w:ascii="Arial" w:hAnsi="Arial" w:cs="Arial"/>
          <w:szCs w:val="24"/>
          <w:lang w:val="en" w:eastAsia="en-GB"/>
        </w:rPr>
      </w:pPr>
      <w:r w:rsidRPr="004C7EC4">
        <w:rPr>
          <w:rFonts w:ascii="Arial" w:hAnsi="Arial" w:cs="Arial"/>
          <w:szCs w:val="24"/>
          <w:lang w:val="en" w:eastAsia="en-GB"/>
        </w:rPr>
        <w:t>There were no bonuses paid to any staff in the year up to 31 March 20</w:t>
      </w:r>
      <w:r>
        <w:rPr>
          <w:rFonts w:ascii="Arial" w:hAnsi="Arial" w:cs="Arial"/>
          <w:szCs w:val="24"/>
          <w:lang w:val="en" w:eastAsia="en-GB"/>
        </w:rPr>
        <w:t>23</w:t>
      </w:r>
      <w:r w:rsidRPr="004C7EC4">
        <w:rPr>
          <w:rFonts w:ascii="Arial" w:hAnsi="Arial" w:cs="Arial"/>
          <w:szCs w:val="24"/>
          <w:lang w:val="en" w:eastAsia="en-GB"/>
        </w:rPr>
        <w:t>.</w:t>
      </w:r>
    </w:p>
    <w:p w14:paraId="04D91C62" w14:textId="510531D0" w:rsidR="00035251" w:rsidRPr="001542CF" w:rsidRDefault="00035251" w:rsidP="4E3E9867">
      <w:pPr>
        <w:pStyle w:val="ListParagraph"/>
        <w:numPr>
          <w:ilvl w:val="0"/>
          <w:numId w:val="34"/>
        </w:numPr>
        <w:spacing w:before="192" w:after="192"/>
        <w:rPr>
          <w:rFonts w:ascii="Arial" w:hAnsi="Arial" w:cs="Arial"/>
          <w:sz w:val="16"/>
          <w:szCs w:val="16"/>
          <w:vertAlign w:val="superscript"/>
          <w:lang w:val="en" w:eastAsia="en-GB"/>
        </w:rPr>
      </w:pPr>
      <w:r w:rsidRPr="4E3E9867">
        <w:rPr>
          <w:rFonts w:ascii="Arial" w:hAnsi="Arial" w:cs="Arial"/>
          <w:lang w:eastAsia="en-GB"/>
        </w:rPr>
        <w:t>Of the 10</w:t>
      </w:r>
      <w:r w:rsidR="002318D1">
        <w:rPr>
          <w:rFonts w:ascii="Arial" w:hAnsi="Arial" w:cs="Arial"/>
          <w:lang w:eastAsia="en-GB"/>
        </w:rPr>
        <w:t>,</w:t>
      </w:r>
      <w:r w:rsidRPr="4E3E9867">
        <w:rPr>
          <w:rFonts w:ascii="Arial" w:hAnsi="Arial" w:cs="Arial"/>
          <w:lang w:eastAsia="en-GB"/>
        </w:rPr>
        <w:t xml:space="preserve">836 employers reporting in 2022/23 the mean gender </w:t>
      </w:r>
      <w:bookmarkStart w:id="12" w:name="_Int_2rNEXiGD"/>
      <w:proofErr w:type="gramStart"/>
      <w:r w:rsidRPr="4E3E9867">
        <w:rPr>
          <w:rFonts w:ascii="Arial" w:hAnsi="Arial" w:cs="Arial"/>
          <w:lang w:eastAsia="en-GB"/>
        </w:rPr>
        <w:t>pay</w:t>
      </w:r>
      <w:bookmarkEnd w:id="12"/>
      <w:proofErr w:type="gramEnd"/>
      <w:r w:rsidRPr="4E3E9867">
        <w:rPr>
          <w:rFonts w:ascii="Arial" w:hAnsi="Arial" w:cs="Arial"/>
          <w:lang w:eastAsia="en-GB"/>
        </w:rPr>
        <w:t xml:space="preserve"> </w:t>
      </w:r>
      <w:bookmarkStart w:id="13" w:name="_Int_EiKtFpvf"/>
      <w:r w:rsidRPr="4E3E9867">
        <w:rPr>
          <w:rFonts w:ascii="Arial" w:hAnsi="Arial" w:cs="Arial"/>
          <w:lang w:eastAsia="en-GB"/>
        </w:rPr>
        <w:t>gap</w:t>
      </w:r>
      <w:bookmarkEnd w:id="13"/>
      <w:r w:rsidRPr="4E3E9867">
        <w:rPr>
          <w:rFonts w:ascii="Arial" w:hAnsi="Arial" w:cs="Arial"/>
          <w:lang w:eastAsia="en-GB"/>
        </w:rPr>
        <w:t xml:space="preserve"> for all employees was 13.1% and the median gender pay gap 11.9%</w:t>
      </w:r>
      <w:r w:rsidRPr="4E3E9867">
        <w:rPr>
          <w:rFonts w:ascii="Arial" w:hAnsi="Arial" w:cs="Arial"/>
          <w:vertAlign w:val="superscript"/>
          <w:lang w:eastAsia="en-GB"/>
        </w:rPr>
        <w:t>1</w:t>
      </w:r>
    </w:p>
    <w:p w14:paraId="1822803F" w14:textId="77777777" w:rsidR="00035251" w:rsidRPr="007535EA" w:rsidRDefault="00035251" w:rsidP="00035251">
      <w:pPr>
        <w:pStyle w:val="ListParagraph"/>
        <w:numPr>
          <w:ilvl w:val="0"/>
          <w:numId w:val="34"/>
        </w:numPr>
        <w:spacing w:before="192" w:after="192"/>
        <w:contextualSpacing w:val="0"/>
        <w:rPr>
          <w:rFonts w:ascii="Arial" w:hAnsi="Arial" w:cs="Arial"/>
          <w:szCs w:val="24"/>
          <w:lang w:val="en" w:eastAsia="en-GB"/>
        </w:rPr>
      </w:pPr>
      <w:r w:rsidRPr="007535EA">
        <w:rPr>
          <w:rFonts w:ascii="Arial" w:hAnsi="Arial" w:cs="Arial"/>
          <w:szCs w:val="24"/>
          <w:lang w:val="en" w:eastAsia="en-GB"/>
        </w:rPr>
        <w:t>High Life Highland’s mean pay gap of 9.</w:t>
      </w:r>
      <w:r>
        <w:rPr>
          <w:rFonts w:ascii="Arial" w:hAnsi="Arial" w:cs="Arial"/>
          <w:szCs w:val="24"/>
          <w:lang w:val="en" w:eastAsia="en-GB"/>
        </w:rPr>
        <w:t>9</w:t>
      </w:r>
      <w:r w:rsidRPr="007535EA">
        <w:rPr>
          <w:rFonts w:ascii="Arial" w:hAnsi="Arial" w:cs="Arial"/>
          <w:szCs w:val="24"/>
          <w:lang w:val="en" w:eastAsia="en-GB"/>
        </w:rPr>
        <w:t xml:space="preserve">% is less than the national average by </w:t>
      </w:r>
      <w:r>
        <w:rPr>
          <w:rFonts w:ascii="Arial" w:hAnsi="Arial" w:cs="Arial"/>
          <w:szCs w:val="24"/>
          <w:lang w:val="en" w:eastAsia="en-GB"/>
        </w:rPr>
        <w:t>3.2</w:t>
      </w:r>
      <w:r w:rsidRPr="007535EA">
        <w:rPr>
          <w:rFonts w:ascii="Arial" w:hAnsi="Arial" w:cs="Arial"/>
          <w:szCs w:val="24"/>
          <w:lang w:val="en" w:eastAsia="en-GB"/>
        </w:rPr>
        <w:t xml:space="preserve">%. </w:t>
      </w:r>
    </w:p>
    <w:p w14:paraId="7E9E9D8A" w14:textId="252DDE84" w:rsidR="00035251" w:rsidRPr="007535EA" w:rsidRDefault="00035251" w:rsidP="00035251">
      <w:pPr>
        <w:pStyle w:val="ListParagraph"/>
        <w:numPr>
          <w:ilvl w:val="0"/>
          <w:numId w:val="34"/>
        </w:numPr>
        <w:spacing w:before="192" w:after="192"/>
        <w:contextualSpacing w:val="0"/>
        <w:rPr>
          <w:rFonts w:ascii="Arial" w:hAnsi="Arial" w:cs="Arial"/>
          <w:szCs w:val="24"/>
          <w:lang w:val="en" w:eastAsia="en-GB"/>
        </w:rPr>
      </w:pPr>
      <w:r w:rsidRPr="007535EA">
        <w:rPr>
          <w:rFonts w:ascii="Arial" w:hAnsi="Arial" w:cs="Arial"/>
          <w:szCs w:val="24"/>
          <w:lang w:val="en" w:eastAsia="en-GB"/>
        </w:rPr>
        <w:t xml:space="preserve">With a </w:t>
      </w:r>
      <w:r>
        <w:rPr>
          <w:rFonts w:ascii="Arial" w:hAnsi="Arial" w:cs="Arial"/>
          <w:szCs w:val="24"/>
          <w:lang w:val="en" w:eastAsia="en-GB"/>
        </w:rPr>
        <w:t>17.</w:t>
      </w:r>
      <w:r w:rsidR="00B02BD8">
        <w:rPr>
          <w:rFonts w:ascii="Arial" w:hAnsi="Arial" w:cs="Arial"/>
          <w:szCs w:val="24"/>
          <w:lang w:val="en" w:eastAsia="en-GB"/>
        </w:rPr>
        <w:t>0</w:t>
      </w:r>
      <w:r w:rsidRPr="007535EA">
        <w:rPr>
          <w:rFonts w:ascii="Arial" w:hAnsi="Arial" w:cs="Arial"/>
          <w:szCs w:val="24"/>
          <w:lang w:val="en" w:eastAsia="en-GB"/>
        </w:rPr>
        <w:t xml:space="preserve">% median pay gap, High Life Highland is </w:t>
      </w:r>
      <w:r>
        <w:rPr>
          <w:rFonts w:ascii="Arial" w:hAnsi="Arial" w:cs="Arial"/>
          <w:szCs w:val="24"/>
          <w:lang w:val="en" w:eastAsia="en-GB"/>
        </w:rPr>
        <w:t>5.</w:t>
      </w:r>
      <w:r w:rsidR="00B02BD8">
        <w:rPr>
          <w:rFonts w:ascii="Arial" w:hAnsi="Arial" w:cs="Arial"/>
          <w:szCs w:val="24"/>
          <w:lang w:val="en" w:eastAsia="en-GB"/>
        </w:rPr>
        <w:t>1</w:t>
      </w:r>
      <w:r w:rsidRPr="007535EA">
        <w:rPr>
          <w:rFonts w:ascii="Arial" w:hAnsi="Arial" w:cs="Arial"/>
          <w:szCs w:val="24"/>
          <w:lang w:val="en" w:eastAsia="en-GB"/>
        </w:rPr>
        <w:t>% above the national average for 20</w:t>
      </w:r>
      <w:r>
        <w:rPr>
          <w:rFonts w:ascii="Arial" w:hAnsi="Arial" w:cs="Arial"/>
          <w:szCs w:val="24"/>
          <w:lang w:val="en" w:eastAsia="en-GB"/>
        </w:rPr>
        <w:t>22</w:t>
      </w:r>
      <w:r w:rsidRPr="007535EA">
        <w:rPr>
          <w:rFonts w:ascii="Arial" w:hAnsi="Arial" w:cs="Arial"/>
          <w:szCs w:val="24"/>
          <w:lang w:val="en" w:eastAsia="en-GB"/>
        </w:rPr>
        <w:t>/2</w:t>
      </w:r>
      <w:r>
        <w:rPr>
          <w:rFonts w:ascii="Arial" w:hAnsi="Arial" w:cs="Arial"/>
          <w:szCs w:val="24"/>
          <w:lang w:val="en" w:eastAsia="en-GB"/>
        </w:rPr>
        <w:t>3</w:t>
      </w:r>
      <w:r w:rsidRPr="007535EA">
        <w:rPr>
          <w:rFonts w:ascii="Arial" w:hAnsi="Arial" w:cs="Arial"/>
          <w:szCs w:val="24"/>
          <w:lang w:val="en" w:eastAsia="en-GB"/>
        </w:rPr>
        <w:t>.</w:t>
      </w:r>
    </w:p>
    <w:p w14:paraId="260EC13A" w14:textId="77777777" w:rsidR="00035251" w:rsidRPr="003E19DD" w:rsidRDefault="00035251" w:rsidP="00035251">
      <w:pPr>
        <w:spacing w:before="192" w:after="192" w:line="276" w:lineRule="auto"/>
        <w:rPr>
          <w:rFonts w:ascii="Arial" w:hAnsi="Arial" w:cs="Arial"/>
          <w:sz w:val="22"/>
          <w:szCs w:val="24"/>
          <w:lang w:val="en"/>
        </w:rPr>
      </w:pPr>
      <w:r w:rsidRPr="00B46C27">
        <w:rPr>
          <w:rFonts w:ascii="Arial" w:hAnsi="Arial" w:cs="Arial"/>
          <w:sz w:val="20"/>
          <w:vertAlign w:val="superscript"/>
          <w:lang w:val="en"/>
        </w:rPr>
        <w:t xml:space="preserve">1 </w:t>
      </w:r>
      <w:hyperlink r:id="rId13" w:history="1">
        <w:r w:rsidRPr="00B46C27">
          <w:rPr>
            <w:rFonts w:ascii="Arial" w:hAnsi="Arial" w:cs="Arial"/>
            <w:color w:val="0000FF"/>
            <w:sz w:val="18"/>
            <w:szCs w:val="18"/>
            <w:u w:val="single"/>
            <w:lang w:val="en"/>
          </w:rPr>
          <w:t>https://gender-pay-gap.service.gov.uk</w:t>
        </w:r>
      </w:hyperlink>
      <w:r w:rsidRPr="00B46C27">
        <w:rPr>
          <w:rFonts w:ascii="Arial" w:hAnsi="Arial" w:cs="Arial"/>
          <w:sz w:val="18"/>
          <w:szCs w:val="18"/>
          <w:lang w:val="en"/>
        </w:rPr>
        <w:t xml:space="preserve">  Employers with 250 or more employees who have published their figures comparing men and women’s average pay across the organisation.</w:t>
      </w:r>
    </w:p>
    <w:p w14:paraId="1F179EEC" w14:textId="77777777" w:rsidR="00035251" w:rsidRDefault="00035251" w:rsidP="00035251">
      <w:pPr>
        <w:shd w:val="clear" w:color="auto" w:fill="FFFFFF"/>
        <w:spacing w:before="100" w:beforeAutospacing="1" w:after="180" w:line="276" w:lineRule="auto"/>
        <w:rPr>
          <w:rFonts w:ascii="Arial" w:hAnsi="Arial" w:cs="Arial"/>
          <w:b/>
          <w:szCs w:val="24"/>
        </w:rPr>
      </w:pPr>
    </w:p>
    <w:p w14:paraId="6EA93309" w14:textId="77777777" w:rsidR="00A15F49" w:rsidRDefault="00A15F49" w:rsidP="00035251">
      <w:pPr>
        <w:shd w:val="clear" w:color="auto" w:fill="FFFFFF"/>
        <w:spacing w:before="100" w:beforeAutospacing="1" w:after="180" w:line="276" w:lineRule="auto"/>
        <w:rPr>
          <w:rFonts w:ascii="Arial" w:hAnsi="Arial" w:cs="Arial"/>
          <w:b/>
          <w:szCs w:val="24"/>
        </w:rPr>
      </w:pPr>
    </w:p>
    <w:p w14:paraId="33C6E36C" w14:textId="77777777" w:rsidR="006D1C1E" w:rsidRDefault="006D1C1E" w:rsidP="00035251">
      <w:pPr>
        <w:shd w:val="clear" w:color="auto" w:fill="FFFFFF"/>
        <w:spacing w:before="100" w:beforeAutospacing="1" w:after="180" w:line="276" w:lineRule="auto"/>
        <w:rPr>
          <w:rFonts w:ascii="Arial" w:hAnsi="Arial" w:cs="Arial"/>
          <w:b/>
          <w:szCs w:val="24"/>
        </w:rPr>
      </w:pPr>
    </w:p>
    <w:p w14:paraId="143D8F92" w14:textId="77777777" w:rsidR="008B7A70" w:rsidRDefault="008B7A70" w:rsidP="00035251">
      <w:pPr>
        <w:shd w:val="clear" w:color="auto" w:fill="FFFFFF"/>
        <w:spacing w:before="100" w:beforeAutospacing="1" w:after="180" w:line="276" w:lineRule="auto"/>
        <w:rPr>
          <w:rFonts w:ascii="Arial" w:hAnsi="Arial" w:cs="Arial"/>
          <w:b/>
          <w:szCs w:val="24"/>
        </w:rPr>
      </w:pPr>
    </w:p>
    <w:p w14:paraId="683876D5" w14:textId="77777777" w:rsidR="00035251" w:rsidRPr="003E19DD" w:rsidRDefault="00035251" w:rsidP="00035251">
      <w:pPr>
        <w:shd w:val="clear" w:color="auto" w:fill="FFFFFF"/>
        <w:spacing w:before="100" w:beforeAutospacing="1" w:after="180" w:line="276" w:lineRule="auto"/>
        <w:rPr>
          <w:rFonts w:ascii="Arial" w:hAnsi="Arial" w:cs="Arial"/>
          <w:b/>
          <w:szCs w:val="24"/>
        </w:rPr>
      </w:pPr>
      <w:r w:rsidRPr="003E19DD">
        <w:rPr>
          <w:rFonts w:ascii="Arial" w:hAnsi="Arial" w:cs="Arial"/>
          <w:b/>
          <w:szCs w:val="24"/>
        </w:rPr>
        <w:lastRenderedPageBreak/>
        <w:t>Pay Quartiles by Gender</w:t>
      </w:r>
    </w:p>
    <w:tbl>
      <w:tblPr>
        <w:tblW w:w="9730"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8"/>
        <w:gridCol w:w="1028"/>
        <w:gridCol w:w="1321"/>
        <w:gridCol w:w="6113"/>
      </w:tblGrid>
      <w:tr w:rsidR="00035251" w:rsidRPr="003E19DD" w14:paraId="23E2AB77" w14:textId="77777777" w:rsidTr="00756290">
        <w:trPr>
          <w:trHeight w:val="25"/>
          <w:tblHeader/>
        </w:trPr>
        <w:tc>
          <w:tcPr>
            <w:tcW w:w="1268" w:type="dxa"/>
            <w:tcBorders>
              <w:right w:val="single" w:sz="6" w:space="0" w:color="ABABAB"/>
            </w:tcBorders>
            <w:tcMar>
              <w:top w:w="180" w:type="dxa"/>
              <w:left w:w="180" w:type="dxa"/>
              <w:bottom w:w="180" w:type="dxa"/>
              <w:right w:w="180" w:type="dxa"/>
            </w:tcMar>
            <w:vAlign w:val="center"/>
            <w:hideMark/>
          </w:tcPr>
          <w:p w14:paraId="5933C4EF" w14:textId="77777777" w:rsidR="00035251" w:rsidRPr="003E19DD" w:rsidRDefault="00035251" w:rsidP="006D1C1E">
            <w:pPr>
              <w:spacing w:line="276" w:lineRule="auto"/>
              <w:rPr>
                <w:rFonts w:ascii="Arial" w:eastAsiaTheme="minorHAnsi" w:hAnsi="Arial" w:cs="Arial"/>
                <w:b/>
                <w:bCs/>
                <w:szCs w:val="24"/>
              </w:rPr>
            </w:pPr>
            <w:r w:rsidRPr="003E19DD">
              <w:rPr>
                <w:rFonts w:ascii="Arial" w:eastAsiaTheme="minorHAnsi" w:hAnsi="Arial" w:cs="Arial"/>
                <w:b/>
                <w:bCs/>
                <w:szCs w:val="24"/>
              </w:rPr>
              <w:t>Quartile</w:t>
            </w:r>
          </w:p>
        </w:tc>
        <w:tc>
          <w:tcPr>
            <w:tcW w:w="1028" w:type="dxa"/>
            <w:tcBorders>
              <w:right w:val="single" w:sz="6" w:space="0" w:color="ABABAB"/>
            </w:tcBorders>
            <w:tcMar>
              <w:top w:w="180" w:type="dxa"/>
              <w:left w:w="180" w:type="dxa"/>
              <w:bottom w:w="180" w:type="dxa"/>
              <w:right w:w="180" w:type="dxa"/>
            </w:tcMar>
            <w:vAlign w:val="center"/>
            <w:hideMark/>
          </w:tcPr>
          <w:p w14:paraId="3216F2D2" w14:textId="77777777" w:rsidR="00035251" w:rsidRPr="003E19DD" w:rsidRDefault="00035251" w:rsidP="006D1C1E">
            <w:pPr>
              <w:spacing w:line="276" w:lineRule="auto"/>
              <w:rPr>
                <w:rFonts w:ascii="Arial" w:eastAsiaTheme="minorHAnsi" w:hAnsi="Arial" w:cs="Arial"/>
                <w:b/>
                <w:bCs/>
                <w:szCs w:val="24"/>
              </w:rPr>
            </w:pPr>
            <w:r w:rsidRPr="003E19DD">
              <w:rPr>
                <w:rFonts w:ascii="Arial" w:eastAsiaTheme="minorHAnsi" w:hAnsi="Arial" w:cs="Arial"/>
                <w:b/>
                <w:bCs/>
                <w:szCs w:val="24"/>
              </w:rPr>
              <w:t>Males</w:t>
            </w:r>
          </w:p>
        </w:tc>
        <w:tc>
          <w:tcPr>
            <w:tcW w:w="1312" w:type="dxa"/>
            <w:tcBorders>
              <w:right w:val="single" w:sz="6" w:space="0" w:color="ABABAB"/>
            </w:tcBorders>
            <w:tcMar>
              <w:top w:w="180" w:type="dxa"/>
              <w:left w:w="180" w:type="dxa"/>
              <w:bottom w:w="180" w:type="dxa"/>
              <w:right w:w="180" w:type="dxa"/>
            </w:tcMar>
            <w:vAlign w:val="center"/>
            <w:hideMark/>
          </w:tcPr>
          <w:p w14:paraId="356E2EA4" w14:textId="77777777" w:rsidR="00035251" w:rsidRPr="003E19DD" w:rsidRDefault="00035251" w:rsidP="006D1C1E">
            <w:pPr>
              <w:spacing w:line="276" w:lineRule="auto"/>
              <w:rPr>
                <w:rFonts w:ascii="Arial" w:eastAsiaTheme="minorHAnsi" w:hAnsi="Arial" w:cs="Arial"/>
                <w:b/>
                <w:bCs/>
                <w:szCs w:val="24"/>
              </w:rPr>
            </w:pPr>
            <w:r w:rsidRPr="003E19DD">
              <w:rPr>
                <w:rFonts w:ascii="Arial" w:eastAsiaTheme="minorHAnsi" w:hAnsi="Arial" w:cs="Arial"/>
                <w:b/>
                <w:bCs/>
                <w:szCs w:val="24"/>
              </w:rPr>
              <w:t>Females</w:t>
            </w:r>
          </w:p>
        </w:tc>
        <w:tc>
          <w:tcPr>
            <w:tcW w:w="6122" w:type="dxa"/>
            <w:tcBorders>
              <w:right w:val="single" w:sz="6" w:space="0" w:color="ABABAB"/>
            </w:tcBorders>
            <w:tcMar>
              <w:top w:w="180" w:type="dxa"/>
              <w:left w:w="180" w:type="dxa"/>
              <w:bottom w:w="180" w:type="dxa"/>
              <w:right w:w="180" w:type="dxa"/>
            </w:tcMar>
            <w:vAlign w:val="center"/>
            <w:hideMark/>
          </w:tcPr>
          <w:p w14:paraId="5F0026F0" w14:textId="77777777" w:rsidR="00035251" w:rsidRPr="003E19DD" w:rsidRDefault="00035251" w:rsidP="00A94219">
            <w:pPr>
              <w:rPr>
                <w:rFonts w:ascii="Arial" w:eastAsiaTheme="minorHAnsi" w:hAnsi="Arial" w:cs="Arial"/>
                <w:b/>
                <w:bCs/>
                <w:szCs w:val="24"/>
              </w:rPr>
            </w:pPr>
            <w:r w:rsidRPr="003E19DD">
              <w:rPr>
                <w:rFonts w:ascii="Arial" w:eastAsiaTheme="minorHAnsi" w:hAnsi="Arial" w:cs="Arial"/>
                <w:b/>
                <w:bCs/>
                <w:szCs w:val="24"/>
              </w:rPr>
              <w:t>Description</w:t>
            </w:r>
          </w:p>
        </w:tc>
      </w:tr>
      <w:tr w:rsidR="00035251" w:rsidRPr="003E19DD" w14:paraId="5303B4F4" w14:textId="77777777" w:rsidTr="00756290">
        <w:trPr>
          <w:trHeight w:val="318"/>
        </w:trPr>
        <w:tc>
          <w:tcPr>
            <w:tcW w:w="126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9D8CBBF" w14:textId="77777777" w:rsidR="00035251" w:rsidRPr="003E19DD" w:rsidRDefault="00035251" w:rsidP="006D1C1E">
            <w:pPr>
              <w:spacing w:line="276" w:lineRule="auto"/>
              <w:rPr>
                <w:rFonts w:ascii="Arial" w:eastAsiaTheme="minorHAnsi" w:hAnsi="Arial" w:cs="Arial"/>
                <w:szCs w:val="24"/>
              </w:rPr>
            </w:pPr>
            <w:r w:rsidRPr="003E19DD">
              <w:rPr>
                <w:rFonts w:ascii="Arial" w:eastAsiaTheme="minorHAnsi" w:hAnsi="Arial" w:cs="Arial"/>
                <w:szCs w:val="24"/>
              </w:rPr>
              <w:t>1</w:t>
            </w:r>
          </w:p>
        </w:tc>
        <w:tc>
          <w:tcPr>
            <w:tcW w:w="102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0D3E39"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26</w:t>
            </w:r>
            <w:r w:rsidRPr="003E19DD">
              <w:rPr>
                <w:rFonts w:ascii="Arial" w:eastAsiaTheme="minorHAnsi" w:hAnsi="Arial" w:cs="Arial"/>
                <w:szCs w:val="24"/>
              </w:rPr>
              <w:t>%</w:t>
            </w:r>
          </w:p>
        </w:tc>
        <w:tc>
          <w:tcPr>
            <w:tcW w:w="131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018D066"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74</w:t>
            </w:r>
            <w:r w:rsidRPr="003E19DD">
              <w:rPr>
                <w:rFonts w:ascii="Arial" w:eastAsiaTheme="minorHAnsi" w:hAnsi="Arial" w:cs="Arial"/>
                <w:szCs w:val="24"/>
              </w:rPr>
              <w:t>%</w:t>
            </w:r>
          </w:p>
        </w:tc>
        <w:tc>
          <w:tcPr>
            <w:tcW w:w="612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FF9BAA" w14:textId="522C0969" w:rsidR="00035251" w:rsidRPr="003E19DD" w:rsidRDefault="00035251" w:rsidP="00A94219">
            <w:pPr>
              <w:rPr>
                <w:rFonts w:ascii="Arial" w:eastAsiaTheme="minorHAnsi" w:hAnsi="Arial" w:cs="Arial"/>
                <w:szCs w:val="24"/>
              </w:rPr>
            </w:pPr>
            <w:r w:rsidRPr="003E19DD">
              <w:rPr>
                <w:rFonts w:ascii="Arial" w:eastAsiaTheme="minorHAnsi" w:hAnsi="Arial" w:cs="Arial"/>
                <w:szCs w:val="24"/>
              </w:rPr>
              <w:t xml:space="preserve">Includes all </w:t>
            </w:r>
            <w:r w:rsidR="00A94219">
              <w:rPr>
                <w:rFonts w:ascii="Arial" w:eastAsiaTheme="minorHAnsi" w:hAnsi="Arial" w:cs="Arial"/>
                <w:szCs w:val="24"/>
              </w:rPr>
              <w:t>HLH</w:t>
            </w:r>
            <w:r w:rsidRPr="003E19DD">
              <w:rPr>
                <w:rFonts w:ascii="Arial" w:eastAsiaTheme="minorHAnsi" w:hAnsi="Arial" w:cs="Arial"/>
                <w:szCs w:val="24"/>
              </w:rPr>
              <w:t xml:space="preserve"> employees whose standard hourly rate places them in the 1</w:t>
            </w:r>
            <w:r w:rsidRPr="003E19DD">
              <w:rPr>
                <w:rFonts w:ascii="Arial" w:eastAsiaTheme="minorHAnsi" w:hAnsi="Arial" w:cs="Arial"/>
                <w:szCs w:val="24"/>
                <w:vertAlign w:val="superscript"/>
              </w:rPr>
              <w:t>st</w:t>
            </w:r>
            <w:r w:rsidRPr="003E19DD">
              <w:rPr>
                <w:rFonts w:ascii="Arial" w:eastAsiaTheme="minorHAnsi" w:hAnsi="Arial" w:cs="Arial"/>
                <w:szCs w:val="24"/>
              </w:rPr>
              <w:t xml:space="preserve"> and lowest pay quartile.</w:t>
            </w:r>
          </w:p>
        </w:tc>
      </w:tr>
      <w:tr w:rsidR="00035251" w:rsidRPr="003E19DD" w14:paraId="09FDE0BB" w14:textId="77777777" w:rsidTr="00756290">
        <w:trPr>
          <w:trHeight w:val="670"/>
        </w:trPr>
        <w:tc>
          <w:tcPr>
            <w:tcW w:w="126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41D992" w14:textId="77777777" w:rsidR="00035251" w:rsidRPr="003E19DD" w:rsidRDefault="00035251" w:rsidP="006D1C1E">
            <w:pPr>
              <w:spacing w:line="276" w:lineRule="auto"/>
              <w:rPr>
                <w:rFonts w:ascii="Arial" w:eastAsiaTheme="minorHAnsi" w:hAnsi="Arial" w:cs="Arial"/>
                <w:szCs w:val="24"/>
              </w:rPr>
            </w:pPr>
            <w:r w:rsidRPr="003E19DD">
              <w:rPr>
                <w:rFonts w:ascii="Arial" w:eastAsiaTheme="minorHAnsi" w:hAnsi="Arial" w:cs="Arial"/>
                <w:szCs w:val="24"/>
              </w:rPr>
              <w:t>2</w:t>
            </w:r>
          </w:p>
        </w:tc>
        <w:tc>
          <w:tcPr>
            <w:tcW w:w="102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448338"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30</w:t>
            </w:r>
            <w:r w:rsidRPr="003E19DD">
              <w:rPr>
                <w:rFonts w:ascii="Arial" w:eastAsiaTheme="minorHAnsi" w:hAnsi="Arial" w:cs="Arial"/>
                <w:szCs w:val="24"/>
              </w:rPr>
              <w:t>%</w:t>
            </w:r>
          </w:p>
        </w:tc>
        <w:tc>
          <w:tcPr>
            <w:tcW w:w="131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6AB245"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70</w:t>
            </w:r>
            <w:r w:rsidRPr="003E19DD">
              <w:rPr>
                <w:rFonts w:ascii="Arial" w:eastAsiaTheme="minorHAnsi" w:hAnsi="Arial" w:cs="Arial"/>
                <w:szCs w:val="24"/>
              </w:rPr>
              <w:t>%</w:t>
            </w:r>
          </w:p>
        </w:tc>
        <w:tc>
          <w:tcPr>
            <w:tcW w:w="612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C45BA03" w14:textId="47E6ADB1" w:rsidR="00035251" w:rsidRPr="003E19DD" w:rsidRDefault="00035251" w:rsidP="00A94219">
            <w:pPr>
              <w:rPr>
                <w:rFonts w:ascii="Arial" w:eastAsiaTheme="minorHAnsi" w:hAnsi="Arial" w:cs="Arial"/>
                <w:szCs w:val="24"/>
              </w:rPr>
            </w:pPr>
            <w:r w:rsidRPr="003E19DD">
              <w:rPr>
                <w:rFonts w:ascii="Arial" w:eastAsiaTheme="minorHAnsi" w:hAnsi="Arial" w:cs="Arial"/>
                <w:szCs w:val="24"/>
              </w:rPr>
              <w:t xml:space="preserve">Includes all </w:t>
            </w:r>
            <w:r w:rsidR="00A94219">
              <w:rPr>
                <w:rFonts w:ascii="Arial" w:eastAsiaTheme="minorHAnsi" w:hAnsi="Arial" w:cs="Arial"/>
                <w:szCs w:val="24"/>
              </w:rPr>
              <w:t>HLH</w:t>
            </w:r>
            <w:r w:rsidRPr="003E19DD">
              <w:rPr>
                <w:rFonts w:ascii="Arial" w:eastAsiaTheme="minorHAnsi" w:hAnsi="Arial" w:cs="Arial"/>
                <w:szCs w:val="24"/>
              </w:rPr>
              <w:t xml:space="preserve"> employees whose standard hourly rate places them below the median pay in the 2</w:t>
            </w:r>
            <w:r w:rsidRPr="003E19DD">
              <w:rPr>
                <w:rFonts w:ascii="Arial" w:eastAsiaTheme="minorHAnsi" w:hAnsi="Arial" w:cs="Arial"/>
                <w:szCs w:val="24"/>
                <w:vertAlign w:val="superscript"/>
              </w:rPr>
              <w:t>nd</w:t>
            </w:r>
            <w:r w:rsidRPr="003E19DD">
              <w:rPr>
                <w:rFonts w:ascii="Arial" w:eastAsiaTheme="minorHAnsi" w:hAnsi="Arial" w:cs="Arial"/>
                <w:szCs w:val="24"/>
              </w:rPr>
              <w:t xml:space="preserve"> pay quartile. </w:t>
            </w:r>
          </w:p>
        </w:tc>
      </w:tr>
      <w:tr w:rsidR="00035251" w:rsidRPr="003E19DD" w14:paraId="38BDAEDB" w14:textId="77777777" w:rsidTr="00756290">
        <w:trPr>
          <w:trHeight w:val="462"/>
        </w:trPr>
        <w:tc>
          <w:tcPr>
            <w:tcW w:w="126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A31F07" w14:textId="77777777" w:rsidR="00035251" w:rsidRPr="003E19DD" w:rsidRDefault="00035251" w:rsidP="006D1C1E">
            <w:pPr>
              <w:spacing w:line="276" w:lineRule="auto"/>
              <w:rPr>
                <w:rFonts w:ascii="Arial" w:eastAsiaTheme="minorHAnsi" w:hAnsi="Arial" w:cs="Arial"/>
                <w:szCs w:val="24"/>
              </w:rPr>
            </w:pPr>
            <w:r w:rsidRPr="003E19DD">
              <w:rPr>
                <w:rFonts w:ascii="Arial" w:eastAsiaTheme="minorHAnsi" w:hAnsi="Arial" w:cs="Arial"/>
                <w:szCs w:val="24"/>
              </w:rPr>
              <w:t>3</w:t>
            </w:r>
          </w:p>
        </w:tc>
        <w:tc>
          <w:tcPr>
            <w:tcW w:w="102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EA391D"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31</w:t>
            </w:r>
            <w:r w:rsidRPr="003E19DD">
              <w:rPr>
                <w:rFonts w:ascii="Arial" w:eastAsiaTheme="minorHAnsi" w:hAnsi="Arial" w:cs="Arial"/>
                <w:szCs w:val="24"/>
              </w:rPr>
              <w:t>%</w:t>
            </w:r>
          </w:p>
        </w:tc>
        <w:tc>
          <w:tcPr>
            <w:tcW w:w="131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9E0B31"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69</w:t>
            </w:r>
            <w:r w:rsidRPr="003E19DD">
              <w:rPr>
                <w:rFonts w:ascii="Arial" w:eastAsiaTheme="minorHAnsi" w:hAnsi="Arial" w:cs="Arial"/>
                <w:szCs w:val="24"/>
              </w:rPr>
              <w:t>%</w:t>
            </w:r>
          </w:p>
        </w:tc>
        <w:tc>
          <w:tcPr>
            <w:tcW w:w="612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12021CE" w14:textId="38B8F8D3" w:rsidR="00035251" w:rsidRPr="003E19DD" w:rsidRDefault="00035251" w:rsidP="00A94219">
            <w:pPr>
              <w:rPr>
                <w:rFonts w:ascii="Arial" w:eastAsiaTheme="minorHAnsi" w:hAnsi="Arial" w:cs="Arial"/>
                <w:szCs w:val="24"/>
              </w:rPr>
            </w:pPr>
            <w:r w:rsidRPr="003E19DD">
              <w:rPr>
                <w:rFonts w:ascii="Arial" w:eastAsiaTheme="minorHAnsi" w:hAnsi="Arial" w:cs="Arial"/>
                <w:szCs w:val="24"/>
              </w:rPr>
              <w:t xml:space="preserve">Includes all </w:t>
            </w:r>
            <w:r w:rsidR="00A94219">
              <w:rPr>
                <w:rFonts w:ascii="Arial" w:eastAsiaTheme="minorHAnsi" w:hAnsi="Arial" w:cs="Arial"/>
                <w:szCs w:val="24"/>
              </w:rPr>
              <w:t>HLH</w:t>
            </w:r>
            <w:r w:rsidRPr="003E19DD">
              <w:rPr>
                <w:rFonts w:ascii="Arial" w:eastAsiaTheme="minorHAnsi" w:hAnsi="Arial" w:cs="Arial"/>
                <w:szCs w:val="24"/>
              </w:rPr>
              <w:t xml:space="preserve"> employees whose standard hourly rate places them above the median pay in the 3</w:t>
            </w:r>
            <w:r w:rsidRPr="003E19DD">
              <w:rPr>
                <w:rFonts w:ascii="Arial" w:eastAsiaTheme="minorHAnsi" w:hAnsi="Arial" w:cs="Arial"/>
                <w:szCs w:val="24"/>
                <w:vertAlign w:val="superscript"/>
              </w:rPr>
              <w:t>rd</w:t>
            </w:r>
            <w:r w:rsidRPr="003E19DD">
              <w:rPr>
                <w:rFonts w:ascii="Arial" w:eastAsiaTheme="minorHAnsi" w:hAnsi="Arial" w:cs="Arial"/>
                <w:szCs w:val="24"/>
              </w:rPr>
              <w:t xml:space="preserve"> pay quartile.</w:t>
            </w:r>
          </w:p>
        </w:tc>
      </w:tr>
      <w:tr w:rsidR="00035251" w:rsidRPr="003E19DD" w14:paraId="62A469AD" w14:textId="77777777" w:rsidTr="00756290">
        <w:trPr>
          <w:trHeight w:val="380"/>
        </w:trPr>
        <w:tc>
          <w:tcPr>
            <w:tcW w:w="126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E9EB49" w14:textId="77777777" w:rsidR="00035251" w:rsidRPr="003E19DD" w:rsidRDefault="00035251" w:rsidP="006D1C1E">
            <w:pPr>
              <w:spacing w:line="276" w:lineRule="auto"/>
              <w:rPr>
                <w:rFonts w:ascii="Arial" w:eastAsiaTheme="minorHAnsi" w:hAnsi="Arial" w:cs="Arial"/>
                <w:szCs w:val="24"/>
              </w:rPr>
            </w:pPr>
            <w:r w:rsidRPr="003E19DD">
              <w:rPr>
                <w:rFonts w:ascii="Arial" w:eastAsiaTheme="minorHAnsi" w:hAnsi="Arial" w:cs="Arial"/>
                <w:szCs w:val="24"/>
              </w:rPr>
              <w:t>4</w:t>
            </w:r>
          </w:p>
        </w:tc>
        <w:tc>
          <w:tcPr>
            <w:tcW w:w="102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F446A8"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45</w:t>
            </w:r>
            <w:r w:rsidRPr="003E19DD">
              <w:rPr>
                <w:rFonts w:ascii="Arial" w:eastAsiaTheme="minorHAnsi" w:hAnsi="Arial" w:cs="Arial"/>
                <w:szCs w:val="24"/>
              </w:rPr>
              <w:t>%</w:t>
            </w:r>
          </w:p>
        </w:tc>
        <w:tc>
          <w:tcPr>
            <w:tcW w:w="131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5476D87" w14:textId="77777777" w:rsidR="00035251" w:rsidRPr="003E19DD" w:rsidRDefault="00035251" w:rsidP="006D1C1E">
            <w:pPr>
              <w:spacing w:line="276" w:lineRule="auto"/>
              <w:rPr>
                <w:rFonts w:ascii="Arial" w:eastAsiaTheme="minorHAnsi" w:hAnsi="Arial" w:cs="Arial"/>
                <w:szCs w:val="24"/>
              </w:rPr>
            </w:pPr>
            <w:r>
              <w:rPr>
                <w:rFonts w:ascii="Arial" w:eastAsiaTheme="minorHAnsi" w:hAnsi="Arial" w:cs="Arial"/>
                <w:szCs w:val="24"/>
              </w:rPr>
              <w:t>55</w:t>
            </w:r>
            <w:r w:rsidRPr="003E19DD">
              <w:rPr>
                <w:rFonts w:ascii="Arial" w:eastAsiaTheme="minorHAnsi" w:hAnsi="Arial" w:cs="Arial"/>
                <w:szCs w:val="24"/>
              </w:rPr>
              <w:t>%</w:t>
            </w:r>
          </w:p>
        </w:tc>
        <w:tc>
          <w:tcPr>
            <w:tcW w:w="612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041AD5C" w14:textId="77777777" w:rsidR="00035251" w:rsidRPr="003E19DD" w:rsidRDefault="00035251" w:rsidP="00A94219">
            <w:pPr>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in the 4</w:t>
            </w:r>
            <w:r w:rsidRPr="003E19DD">
              <w:rPr>
                <w:rFonts w:ascii="Arial" w:eastAsiaTheme="minorHAnsi" w:hAnsi="Arial" w:cs="Arial"/>
                <w:szCs w:val="24"/>
                <w:vertAlign w:val="superscript"/>
              </w:rPr>
              <w:t>th</w:t>
            </w:r>
            <w:r w:rsidRPr="003E19DD">
              <w:rPr>
                <w:rFonts w:ascii="Arial" w:eastAsiaTheme="minorHAnsi" w:hAnsi="Arial" w:cs="Arial"/>
                <w:szCs w:val="24"/>
              </w:rPr>
              <w:t xml:space="preserve"> and therefore highest pay quartile.</w:t>
            </w:r>
          </w:p>
        </w:tc>
      </w:tr>
    </w:tbl>
    <w:p w14:paraId="2717A1F2" w14:textId="77777777" w:rsidR="00035251" w:rsidRPr="003E19DD" w:rsidRDefault="00035251" w:rsidP="00756290">
      <w:pPr>
        <w:numPr>
          <w:ilvl w:val="0"/>
          <w:numId w:val="33"/>
        </w:numPr>
        <w:spacing w:before="192" w:after="192"/>
        <w:ind w:left="426" w:hanging="284"/>
        <w:jc w:val="both"/>
        <w:rPr>
          <w:rFonts w:ascii="Arial" w:hAnsi="Arial" w:cs="Arial"/>
          <w:szCs w:val="24"/>
          <w:lang w:val="en"/>
        </w:rPr>
      </w:pPr>
      <w:r w:rsidRPr="003E19DD">
        <w:rPr>
          <w:rFonts w:ascii="Arial" w:hAnsi="Arial" w:cs="Arial"/>
          <w:szCs w:val="24"/>
          <w:lang w:val="en"/>
        </w:rPr>
        <w:t>The table above sets out the gender distribution at High Life Highland across four equally sized quartiles, each containing as follows Q1</w:t>
      </w:r>
      <w:r>
        <w:rPr>
          <w:rFonts w:ascii="Arial" w:hAnsi="Arial" w:cs="Arial"/>
          <w:szCs w:val="24"/>
          <w:lang w:val="en"/>
        </w:rPr>
        <w:t xml:space="preserve"> 219, Q2 220 Q3 219 and </w:t>
      </w:r>
      <w:r w:rsidRPr="003E19DD">
        <w:rPr>
          <w:rFonts w:ascii="Arial" w:hAnsi="Arial" w:cs="Arial"/>
          <w:szCs w:val="24"/>
          <w:lang w:val="en"/>
        </w:rPr>
        <w:t>Q</w:t>
      </w:r>
      <w:r>
        <w:rPr>
          <w:rFonts w:ascii="Arial" w:hAnsi="Arial" w:cs="Arial"/>
          <w:szCs w:val="24"/>
          <w:lang w:val="en"/>
        </w:rPr>
        <w:t>4</w:t>
      </w:r>
      <w:r w:rsidRPr="003E19DD">
        <w:rPr>
          <w:rFonts w:ascii="Arial" w:hAnsi="Arial" w:cs="Arial"/>
          <w:szCs w:val="24"/>
          <w:lang w:val="en"/>
        </w:rPr>
        <w:t xml:space="preserve"> 2</w:t>
      </w:r>
      <w:r>
        <w:rPr>
          <w:rFonts w:ascii="Arial" w:hAnsi="Arial" w:cs="Arial"/>
          <w:szCs w:val="24"/>
          <w:lang w:val="en"/>
        </w:rPr>
        <w:t>20</w:t>
      </w:r>
      <w:r w:rsidRPr="003E19DD">
        <w:rPr>
          <w:rFonts w:ascii="Arial" w:hAnsi="Arial" w:cs="Arial"/>
          <w:szCs w:val="24"/>
          <w:lang w:val="en"/>
        </w:rPr>
        <w:t xml:space="preserve"> employees.</w:t>
      </w:r>
    </w:p>
    <w:p w14:paraId="50AC8B18" w14:textId="77777777" w:rsidR="00035251" w:rsidRPr="000B2E5E" w:rsidRDefault="00035251" w:rsidP="00756290">
      <w:pPr>
        <w:numPr>
          <w:ilvl w:val="0"/>
          <w:numId w:val="33"/>
        </w:numPr>
        <w:spacing w:before="192" w:after="192"/>
        <w:ind w:left="426" w:hanging="284"/>
        <w:jc w:val="both"/>
        <w:rPr>
          <w:rFonts w:ascii="Arial" w:eastAsiaTheme="minorHAnsi" w:hAnsi="Arial" w:cs="Arial"/>
          <w:szCs w:val="24"/>
        </w:rPr>
      </w:pPr>
      <w:r>
        <w:rPr>
          <w:rFonts w:ascii="Arial" w:hAnsi="Arial" w:cs="Arial"/>
          <w:szCs w:val="24"/>
          <w:lang w:val="en"/>
        </w:rPr>
        <w:t xml:space="preserve">High Life Highland has an </w:t>
      </w:r>
      <w:r w:rsidRPr="000B2E5E">
        <w:rPr>
          <w:rFonts w:ascii="Arial" w:hAnsi="Arial" w:cs="Arial"/>
          <w:szCs w:val="24"/>
          <w:lang w:val="en"/>
        </w:rPr>
        <w:t>overall gender split of 3</w:t>
      </w:r>
      <w:r>
        <w:rPr>
          <w:rFonts w:ascii="Arial" w:hAnsi="Arial" w:cs="Arial"/>
          <w:szCs w:val="24"/>
          <w:lang w:val="en"/>
        </w:rPr>
        <w:t>2</w:t>
      </w:r>
      <w:r w:rsidRPr="000B2E5E">
        <w:rPr>
          <w:rFonts w:ascii="Arial" w:hAnsi="Arial" w:cs="Arial"/>
          <w:szCs w:val="24"/>
          <w:lang w:val="en"/>
        </w:rPr>
        <w:t>% male to 6</w:t>
      </w:r>
      <w:r>
        <w:rPr>
          <w:rFonts w:ascii="Arial" w:hAnsi="Arial" w:cs="Arial"/>
          <w:szCs w:val="24"/>
          <w:lang w:val="en"/>
        </w:rPr>
        <w:t>8</w:t>
      </w:r>
      <w:r w:rsidRPr="000B2E5E">
        <w:rPr>
          <w:rFonts w:ascii="Arial" w:hAnsi="Arial" w:cs="Arial"/>
          <w:szCs w:val="24"/>
          <w:lang w:val="en"/>
        </w:rPr>
        <w:t>% female</w:t>
      </w:r>
      <w:r>
        <w:rPr>
          <w:rFonts w:ascii="Arial" w:hAnsi="Arial" w:cs="Arial"/>
          <w:szCs w:val="24"/>
          <w:lang w:val="en"/>
        </w:rPr>
        <w:t>.</w:t>
      </w:r>
      <w:r w:rsidRPr="000B2E5E">
        <w:rPr>
          <w:rFonts w:ascii="Arial" w:hAnsi="Arial" w:cs="Arial"/>
          <w:szCs w:val="24"/>
          <w:lang w:val="en"/>
        </w:rPr>
        <w:t xml:space="preserve"> Quartile</w:t>
      </w:r>
      <w:r>
        <w:rPr>
          <w:rFonts w:ascii="Arial" w:hAnsi="Arial" w:cs="Arial"/>
          <w:szCs w:val="24"/>
          <w:lang w:val="en"/>
        </w:rPr>
        <w:t xml:space="preserve"> 1 </w:t>
      </w:r>
      <w:r w:rsidRPr="000B2E5E">
        <w:rPr>
          <w:rFonts w:ascii="Arial" w:hAnsi="Arial" w:cs="Arial"/>
          <w:szCs w:val="24"/>
          <w:lang w:val="en"/>
        </w:rPr>
        <w:t>shows the greatest disparity in gender distribution</w:t>
      </w:r>
      <w:r>
        <w:rPr>
          <w:rFonts w:ascii="Arial" w:hAnsi="Arial" w:cs="Arial"/>
          <w:szCs w:val="24"/>
          <w:lang w:val="en"/>
        </w:rPr>
        <w:t xml:space="preserve"> with a higher percentage of females employed in the lowest pay quartile. </w:t>
      </w:r>
      <w:r w:rsidRPr="000B2E5E">
        <w:rPr>
          <w:rFonts w:ascii="Arial" w:hAnsi="Arial" w:cs="Arial"/>
          <w:szCs w:val="24"/>
          <w:lang w:val="en"/>
        </w:rPr>
        <w:t xml:space="preserve"> </w:t>
      </w:r>
    </w:p>
    <w:p w14:paraId="0660EAD1" w14:textId="577A628D" w:rsidR="00035251" w:rsidRPr="003E19DD" w:rsidRDefault="00035251" w:rsidP="00CC0E40">
      <w:pPr>
        <w:spacing w:line="276" w:lineRule="auto"/>
        <w:jc w:val="both"/>
        <w:rPr>
          <w:rFonts w:ascii="Arial" w:eastAsiaTheme="minorEastAsia" w:hAnsi="Arial" w:cs="Arial"/>
        </w:rPr>
      </w:pPr>
      <w:r w:rsidRPr="4E3E9867">
        <w:rPr>
          <w:rFonts w:ascii="Arial" w:eastAsiaTheme="minorEastAsia" w:hAnsi="Arial" w:cs="Arial"/>
        </w:rPr>
        <w:t>High Life Highland is committed to the promotion of equality of opportunity in its employment practices</w:t>
      </w:r>
      <w:r w:rsidR="2CE72169" w:rsidRPr="4E3E9867">
        <w:rPr>
          <w:rFonts w:ascii="Arial" w:eastAsiaTheme="minorEastAsia" w:hAnsi="Arial" w:cs="Arial"/>
        </w:rPr>
        <w:t xml:space="preserve">. </w:t>
      </w:r>
      <w:r w:rsidRPr="4E3E9867">
        <w:rPr>
          <w:rFonts w:ascii="Arial" w:eastAsiaTheme="minorEastAsia" w:hAnsi="Arial" w:cs="Arial"/>
        </w:rPr>
        <w:t xml:space="preserve">It </w:t>
      </w:r>
      <w:r w:rsidRPr="4E3E9867">
        <w:rPr>
          <w:rFonts w:ascii="Arial" w:eastAsiaTheme="minorEastAsia" w:hAnsi="Arial" w:cs="Arial"/>
          <w:color w:val="000000" w:themeColor="text1"/>
        </w:rPr>
        <w:t>is committed to offering roles on flexible working patterns, with a range of options such as part-time work, alternative working hours, home working and shared parental leave.</w:t>
      </w:r>
    </w:p>
    <w:p w14:paraId="4F1D1843" w14:textId="77777777" w:rsidR="00035251" w:rsidRPr="003E19DD" w:rsidRDefault="00035251" w:rsidP="00CC0E40">
      <w:pPr>
        <w:spacing w:line="276" w:lineRule="auto"/>
        <w:jc w:val="both"/>
        <w:rPr>
          <w:rFonts w:ascii="Arial" w:eastAsiaTheme="minorHAnsi" w:hAnsi="Arial" w:cs="Arial"/>
          <w:szCs w:val="24"/>
        </w:rPr>
      </w:pPr>
    </w:p>
    <w:p w14:paraId="2A388EFE" w14:textId="6C807D60" w:rsidR="00035251" w:rsidRPr="003E19DD" w:rsidRDefault="00035251" w:rsidP="00CC0E40">
      <w:pPr>
        <w:spacing w:line="276" w:lineRule="auto"/>
        <w:jc w:val="both"/>
        <w:rPr>
          <w:rFonts w:ascii="Arial" w:eastAsiaTheme="minorEastAsia" w:hAnsi="Arial" w:cs="Arial"/>
        </w:rPr>
      </w:pPr>
      <w:r w:rsidRPr="4E3E9867">
        <w:rPr>
          <w:rFonts w:ascii="Arial" w:eastAsiaTheme="minorEastAsia" w:hAnsi="Arial" w:cs="Arial"/>
        </w:rPr>
        <w:t>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non</w:t>
      </w:r>
      <w:r w:rsidR="1244DCF1" w:rsidRPr="4E3E9867">
        <w:rPr>
          <w:rFonts w:ascii="Arial" w:eastAsiaTheme="minorEastAsia" w:hAnsi="Arial" w:cs="Arial"/>
        </w:rPr>
        <w:t>-job-related</w:t>
      </w:r>
      <w:r w:rsidRPr="4E3E9867">
        <w:rPr>
          <w:rFonts w:ascii="Arial" w:eastAsiaTheme="minorEastAsia" w:hAnsi="Arial" w:cs="Arial"/>
        </w:rPr>
        <w:t xml:space="preserve"> factor</w:t>
      </w:r>
      <w:r w:rsidR="4593DB9D" w:rsidRPr="4E3E9867">
        <w:rPr>
          <w:rFonts w:ascii="Arial" w:eastAsiaTheme="minorEastAsia" w:hAnsi="Arial" w:cs="Arial"/>
        </w:rPr>
        <w:t xml:space="preserve">. </w:t>
      </w:r>
    </w:p>
    <w:p w14:paraId="56D27925" w14:textId="77777777" w:rsidR="00035251" w:rsidRPr="003E19DD" w:rsidRDefault="00035251" w:rsidP="00CC0E40">
      <w:pPr>
        <w:spacing w:line="276" w:lineRule="auto"/>
        <w:jc w:val="both"/>
        <w:rPr>
          <w:rFonts w:ascii="Arial" w:eastAsiaTheme="minorHAnsi" w:hAnsi="Arial" w:cs="Arial"/>
          <w:szCs w:val="24"/>
        </w:rPr>
      </w:pPr>
    </w:p>
    <w:p w14:paraId="637E563C" w14:textId="77777777" w:rsidR="00035251" w:rsidRPr="003E19DD" w:rsidRDefault="00035251" w:rsidP="00CC0E40">
      <w:pPr>
        <w:spacing w:line="276" w:lineRule="auto"/>
        <w:jc w:val="both"/>
        <w:rPr>
          <w:rFonts w:ascii="Arial" w:eastAsiaTheme="minorHAnsi" w:hAnsi="Arial" w:cs="Arial"/>
          <w:szCs w:val="24"/>
          <w:lang w:val="en"/>
        </w:rPr>
      </w:pPr>
      <w:r w:rsidRPr="003E19DD">
        <w:rPr>
          <w:rFonts w:ascii="Arial" w:eastAsiaTheme="minorHAnsi" w:hAnsi="Arial" w:cs="Arial"/>
          <w:szCs w:val="24"/>
        </w:rPr>
        <w:t xml:space="preserve">High Life Highland is also confident that males and females are paid the same rate </w:t>
      </w:r>
      <w:r w:rsidRPr="003E19DD">
        <w:rPr>
          <w:rFonts w:ascii="Arial" w:eastAsiaTheme="minorHAnsi" w:hAnsi="Arial" w:cs="Arial"/>
          <w:szCs w:val="24"/>
          <w:lang w:val="en"/>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14:paraId="00BF14D1" w14:textId="1595C7EA" w:rsidR="00035251" w:rsidRPr="003E19DD" w:rsidRDefault="00035251" w:rsidP="00CC0E40">
      <w:pPr>
        <w:shd w:val="clear" w:color="auto" w:fill="FFFFFF" w:themeFill="background1"/>
        <w:spacing w:before="100" w:beforeAutospacing="1" w:after="180" w:line="276" w:lineRule="auto"/>
        <w:jc w:val="both"/>
        <w:rPr>
          <w:rFonts w:ascii="Arial" w:hAnsi="Arial" w:cs="Arial"/>
        </w:rPr>
      </w:pPr>
      <w:r w:rsidRPr="4E3E9867">
        <w:rPr>
          <w:rFonts w:ascii="Arial" w:hAnsi="Arial" w:cs="Arial"/>
        </w:rPr>
        <w:t xml:space="preserve">High Life Highland remains committed to monitoring and reducing the gap wherever possible, whilst also recognising that it has no direct control over the gender of applicants for </w:t>
      </w:r>
      <w:r w:rsidR="23A90C11" w:rsidRPr="4E3E9867">
        <w:rPr>
          <w:rFonts w:ascii="Arial" w:hAnsi="Arial" w:cs="Arial"/>
        </w:rPr>
        <w:t>job</w:t>
      </w:r>
      <w:r w:rsidRPr="4E3E9867">
        <w:rPr>
          <w:rFonts w:ascii="Arial" w:hAnsi="Arial" w:cs="Arial"/>
        </w:rPr>
        <w:t xml:space="preserve"> types or an individual’s career choices. </w:t>
      </w:r>
    </w:p>
    <w:p w14:paraId="3D8E414F" w14:textId="77777777" w:rsidR="00035251" w:rsidRPr="003E19DD" w:rsidRDefault="00035251" w:rsidP="00035251">
      <w:pPr>
        <w:shd w:val="clear" w:color="auto" w:fill="FFFFFF"/>
        <w:spacing w:before="100" w:beforeAutospacing="1" w:after="180" w:line="276" w:lineRule="auto"/>
        <w:rPr>
          <w:rFonts w:ascii="Arial" w:hAnsi="Arial" w:cs="Arial"/>
          <w:szCs w:val="24"/>
        </w:rPr>
      </w:pPr>
      <w:r w:rsidRPr="003E19DD">
        <w:rPr>
          <w:rFonts w:ascii="Arial" w:hAnsi="Arial" w:cs="Arial"/>
          <w:szCs w:val="24"/>
        </w:rPr>
        <w:t>I confirm the data reported is accurate.</w:t>
      </w:r>
    </w:p>
    <w:p w14:paraId="77E19904" w14:textId="77777777" w:rsidR="00035251" w:rsidRPr="003E19DD" w:rsidRDefault="00035251" w:rsidP="00035251">
      <w:pPr>
        <w:shd w:val="clear" w:color="auto" w:fill="FFFFFF"/>
        <w:spacing w:line="276" w:lineRule="auto"/>
        <w:rPr>
          <w:rFonts w:ascii="Arial" w:hAnsi="Arial" w:cs="Arial"/>
          <w:szCs w:val="24"/>
        </w:rPr>
      </w:pPr>
      <w:r>
        <w:rPr>
          <w:rFonts w:ascii="Arial" w:hAnsi="Arial" w:cs="Arial"/>
          <w:szCs w:val="24"/>
        </w:rPr>
        <w:lastRenderedPageBreak/>
        <w:t>Steve Walsh</w:t>
      </w:r>
    </w:p>
    <w:p w14:paraId="4336F15D" w14:textId="14156533" w:rsidR="00035251" w:rsidRPr="00756290" w:rsidRDefault="00035251" w:rsidP="00756290">
      <w:pPr>
        <w:shd w:val="clear" w:color="auto" w:fill="FFFFFF"/>
        <w:spacing w:line="276" w:lineRule="auto"/>
        <w:rPr>
          <w:rFonts w:ascii="Arial" w:hAnsi="Arial" w:cs="Arial"/>
          <w:szCs w:val="24"/>
        </w:rPr>
      </w:pPr>
      <w:r w:rsidRPr="003E19DD">
        <w:rPr>
          <w:rFonts w:ascii="Arial" w:hAnsi="Arial" w:cs="Arial"/>
          <w:szCs w:val="24"/>
        </w:rPr>
        <w:t>Chief Executive</w:t>
      </w:r>
      <w:bookmarkEnd w:id="9"/>
      <w:bookmarkEnd w:id="10"/>
    </w:p>
    <w:sectPr w:rsidR="00035251" w:rsidRPr="00756290" w:rsidSect="001C6B8E">
      <w:pgSz w:w="11906" w:h="16838"/>
      <w:pgMar w:top="993" w:right="1080" w:bottom="851"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40AF" w14:textId="77777777" w:rsidR="007604AE" w:rsidRDefault="007604AE" w:rsidP="00890E32">
      <w:r>
        <w:separator/>
      </w:r>
    </w:p>
  </w:endnote>
  <w:endnote w:type="continuationSeparator" w:id="0">
    <w:p w14:paraId="5340A324" w14:textId="77777777" w:rsidR="007604AE" w:rsidRDefault="007604AE" w:rsidP="00890E32">
      <w:r>
        <w:continuationSeparator/>
      </w:r>
    </w:p>
  </w:endnote>
  <w:endnote w:type="continuationNotice" w:id="1">
    <w:p w14:paraId="5A26DE04" w14:textId="77777777" w:rsidR="007604AE" w:rsidRDefault="0076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AAEA" w14:textId="77777777" w:rsidR="007604AE" w:rsidRDefault="007604AE" w:rsidP="00890E32">
      <w:r>
        <w:separator/>
      </w:r>
    </w:p>
  </w:footnote>
  <w:footnote w:type="continuationSeparator" w:id="0">
    <w:p w14:paraId="3B453F92" w14:textId="77777777" w:rsidR="007604AE" w:rsidRDefault="007604AE" w:rsidP="00890E32">
      <w:r>
        <w:continuationSeparator/>
      </w:r>
    </w:p>
  </w:footnote>
  <w:footnote w:type="continuationNotice" w:id="1">
    <w:p w14:paraId="47D3B7B6" w14:textId="77777777" w:rsidR="007604AE" w:rsidRDefault="007604AE"/>
  </w:footnote>
</w:footnotes>
</file>

<file path=word/intelligence2.xml><?xml version="1.0" encoding="utf-8"?>
<int2:intelligence xmlns:int2="http://schemas.microsoft.com/office/intelligence/2020/intelligence" xmlns:oel="http://schemas.microsoft.com/office/2019/extlst">
  <int2:observations>
    <int2:textHash int2:hashCode="KA+cwCNeRp/Yrf" int2:id="E8i6gjpp">
      <int2:state int2:value="Rejected" int2:type="AugLoop_Text_Critique"/>
    </int2:textHash>
    <int2:textHash int2:hashCode="oLjaZ4VeJaqnV3" int2:id="JP5Wszkj">
      <int2:state int2:value="Rejected" int2:type="AugLoop_Text_Critique"/>
    </int2:textHash>
    <int2:bookmark int2:bookmarkName="_Int_gfr6f5Ac" int2:invalidationBookmarkName="" int2:hashCode="g0s08W9FHgDyaN" int2:id="ABOWjabM">
      <int2:state int2:value="Rejected" int2:type="AugLoop_Text_Critique"/>
    </int2:bookmark>
    <int2:bookmark int2:bookmarkName="_Int_DxiQLWxq" int2:invalidationBookmarkName="" int2:hashCode="2NsFG74bPWqEVb" int2:id="AVGKfL8n">
      <int2:state int2:value="Rejected" int2:type="AugLoop_Text_Critique"/>
    </int2:bookmark>
    <int2:bookmark int2:bookmarkName="_Int_3QzYGjlq" int2:invalidationBookmarkName="" int2:hashCode="200zBXk1JyOeEF" int2:id="BqAlcSW9">
      <int2:state int2:value="Rejected" int2:type="AugLoop_Text_Critique"/>
    </int2:bookmark>
    <int2:bookmark int2:bookmarkName="_Int_olbQNSeV" int2:invalidationBookmarkName="" int2:hashCode="d4ZX/6k2XVJ7ib" int2:id="Dbtdnj8L">
      <int2:state int2:value="Rejected" int2:type="AugLoop_Text_Critique"/>
    </int2:bookmark>
    <int2:bookmark int2:bookmarkName="_Int_2mudPsVH" int2:invalidationBookmarkName="" int2:hashCode="GTXXtuHNqgyyoS" int2:id="MEXiApuz">
      <int2:state int2:value="Rejected" int2:type="AugLoop_Text_Critique"/>
    </int2:bookmark>
    <int2:bookmark int2:bookmarkName="_Int_HI8ra3oi" int2:invalidationBookmarkName="" int2:hashCode="H1XF0QTz6RzRUT" int2:id="SbDYJsii">
      <int2:state int2:value="Rejected" int2:type="AugLoop_Text_Critique"/>
    </int2:bookmark>
    <int2:bookmark int2:bookmarkName="_Int_pL0YgSqE" int2:invalidationBookmarkName="" int2:hashCode="GTXXtuHNqgyyoS" int2:id="U5hqjz8T">
      <int2:state int2:value="Rejected" int2:type="AugLoop_Text_Critique"/>
    </int2:bookmark>
    <int2:bookmark int2:bookmarkName="_Int_EiKtFpvf" int2:invalidationBookmarkName="" int2:hashCode="gb8BRcjyzETo20" int2:id="cUPSpMq6">
      <int2:state int2:value="Rejected" int2:type="AugLoop_Text_Critique"/>
    </int2:bookmark>
    <int2:bookmark int2:bookmarkName="_Int_2rNEXiGD" int2:invalidationBookmarkName="" int2:hashCode="v8leUPgo8K7NYy" int2:id="tekbX9s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E2A61C"/>
    <w:lvl w:ilvl="0">
      <w:start w:val="1"/>
      <w:numFmt w:val="decimal"/>
      <w:pStyle w:val="ListNumber"/>
      <w:lvlText w:val="%1."/>
      <w:lvlJc w:val="left"/>
      <w:pPr>
        <w:tabs>
          <w:tab w:val="num" w:pos="360"/>
        </w:tabs>
        <w:ind w:left="360" w:hanging="360"/>
      </w:pPr>
    </w:lvl>
  </w:abstractNum>
  <w:abstractNum w:abstractNumId="1" w15:restartNumberingAfterBreak="0">
    <w:nsid w:val="0219275C"/>
    <w:multiLevelType w:val="multilevel"/>
    <w:tmpl w:val="645EFC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24DD20A"/>
    <w:multiLevelType w:val="hybridMultilevel"/>
    <w:tmpl w:val="B6824E34"/>
    <w:lvl w:ilvl="0" w:tplc="7D7A30EE">
      <w:start w:val="1"/>
      <w:numFmt w:val="bullet"/>
      <w:lvlText w:val=""/>
      <w:lvlJc w:val="left"/>
      <w:pPr>
        <w:ind w:left="720" w:hanging="360"/>
      </w:pPr>
      <w:rPr>
        <w:rFonts w:ascii="Symbol" w:hAnsi="Symbol" w:hint="default"/>
      </w:rPr>
    </w:lvl>
    <w:lvl w:ilvl="1" w:tplc="60643828">
      <w:start w:val="1"/>
      <w:numFmt w:val="bullet"/>
      <w:lvlText w:val="o"/>
      <w:lvlJc w:val="left"/>
      <w:pPr>
        <w:ind w:left="1440" w:hanging="360"/>
      </w:pPr>
      <w:rPr>
        <w:rFonts w:ascii="Courier New" w:hAnsi="Courier New" w:hint="default"/>
      </w:rPr>
    </w:lvl>
    <w:lvl w:ilvl="2" w:tplc="E4AA0472">
      <w:start w:val="1"/>
      <w:numFmt w:val="bullet"/>
      <w:lvlText w:val=""/>
      <w:lvlJc w:val="left"/>
      <w:pPr>
        <w:ind w:left="2160" w:hanging="360"/>
      </w:pPr>
      <w:rPr>
        <w:rFonts w:ascii="Wingdings" w:hAnsi="Wingdings" w:hint="default"/>
      </w:rPr>
    </w:lvl>
    <w:lvl w:ilvl="3" w:tplc="CF3CEB72">
      <w:start w:val="1"/>
      <w:numFmt w:val="bullet"/>
      <w:lvlText w:val=""/>
      <w:lvlJc w:val="left"/>
      <w:pPr>
        <w:ind w:left="2880" w:hanging="360"/>
      </w:pPr>
      <w:rPr>
        <w:rFonts w:ascii="Symbol" w:hAnsi="Symbol" w:hint="default"/>
      </w:rPr>
    </w:lvl>
    <w:lvl w:ilvl="4" w:tplc="181C29EC">
      <w:start w:val="1"/>
      <w:numFmt w:val="bullet"/>
      <w:lvlText w:val="o"/>
      <w:lvlJc w:val="left"/>
      <w:pPr>
        <w:ind w:left="3600" w:hanging="360"/>
      </w:pPr>
      <w:rPr>
        <w:rFonts w:ascii="Courier New" w:hAnsi="Courier New" w:hint="default"/>
      </w:rPr>
    </w:lvl>
    <w:lvl w:ilvl="5" w:tplc="C6320392">
      <w:start w:val="1"/>
      <w:numFmt w:val="bullet"/>
      <w:lvlText w:val=""/>
      <w:lvlJc w:val="left"/>
      <w:pPr>
        <w:ind w:left="4320" w:hanging="360"/>
      </w:pPr>
      <w:rPr>
        <w:rFonts w:ascii="Wingdings" w:hAnsi="Wingdings" w:hint="default"/>
      </w:rPr>
    </w:lvl>
    <w:lvl w:ilvl="6" w:tplc="40CE886E">
      <w:start w:val="1"/>
      <w:numFmt w:val="bullet"/>
      <w:lvlText w:val=""/>
      <w:lvlJc w:val="left"/>
      <w:pPr>
        <w:ind w:left="5040" w:hanging="360"/>
      </w:pPr>
      <w:rPr>
        <w:rFonts w:ascii="Symbol" w:hAnsi="Symbol" w:hint="default"/>
      </w:rPr>
    </w:lvl>
    <w:lvl w:ilvl="7" w:tplc="8782F272">
      <w:start w:val="1"/>
      <w:numFmt w:val="bullet"/>
      <w:lvlText w:val="o"/>
      <w:lvlJc w:val="left"/>
      <w:pPr>
        <w:ind w:left="5760" w:hanging="360"/>
      </w:pPr>
      <w:rPr>
        <w:rFonts w:ascii="Courier New" w:hAnsi="Courier New" w:hint="default"/>
      </w:rPr>
    </w:lvl>
    <w:lvl w:ilvl="8" w:tplc="B62AF59A">
      <w:start w:val="1"/>
      <w:numFmt w:val="bullet"/>
      <w:lvlText w:val=""/>
      <w:lvlJc w:val="left"/>
      <w:pPr>
        <w:ind w:left="6480" w:hanging="360"/>
      </w:pPr>
      <w:rPr>
        <w:rFonts w:ascii="Wingdings" w:hAnsi="Wingdings" w:hint="default"/>
      </w:rPr>
    </w:lvl>
  </w:abstractNum>
  <w:abstractNum w:abstractNumId="3" w15:restartNumberingAfterBreak="0">
    <w:nsid w:val="05F77B47"/>
    <w:multiLevelType w:val="hybridMultilevel"/>
    <w:tmpl w:val="6626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E0B93"/>
    <w:multiLevelType w:val="hybridMultilevel"/>
    <w:tmpl w:val="EF4A8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9819F4"/>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54345D"/>
    <w:multiLevelType w:val="hybridMultilevel"/>
    <w:tmpl w:val="21B8EE28"/>
    <w:lvl w:ilvl="0" w:tplc="02ACFE4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2491D"/>
    <w:multiLevelType w:val="hybridMultilevel"/>
    <w:tmpl w:val="4306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A121A"/>
    <w:multiLevelType w:val="hybridMultilevel"/>
    <w:tmpl w:val="3C668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2E678C3"/>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786133"/>
    <w:multiLevelType w:val="hybridMultilevel"/>
    <w:tmpl w:val="63F0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69B0"/>
    <w:multiLevelType w:val="hybridMultilevel"/>
    <w:tmpl w:val="974E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1D460F"/>
    <w:multiLevelType w:val="hybridMultilevel"/>
    <w:tmpl w:val="E5AEDD1A"/>
    <w:lvl w:ilvl="0" w:tplc="665AE6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90B0A"/>
    <w:multiLevelType w:val="multilevel"/>
    <w:tmpl w:val="9A869D0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F7EE1"/>
    <w:multiLevelType w:val="hybridMultilevel"/>
    <w:tmpl w:val="C062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6282E"/>
    <w:multiLevelType w:val="multilevel"/>
    <w:tmpl w:val="F40E6174"/>
    <w:lvl w:ilvl="0">
      <w:start w:val="1"/>
      <w:numFmt w:val="lowerRoman"/>
      <w:lvlText w:val="%1."/>
      <w:lvlJc w:val="righ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474F63C8"/>
    <w:multiLevelType w:val="hybridMultilevel"/>
    <w:tmpl w:val="B522570E"/>
    <w:lvl w:ilvl="0" w:tplc="665AE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B25C4"/>
    <w:multiLevelType w:val="hybridMultilevel"/>
    <w:tmpl w:val="23A2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101A5"/>
    <w:multiLevelType w:val="hybridMultilevel"/>
    <w:tmpl w:val="8EAE136C"/>
    <w:lvl w:ilvl="0" w:tplc="665AE6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2F6828"/>
    <w:multiLevelType w:val="hybridMultilevel"/>
    <w:tmpl w:val="73EA5EA6"/>
    <w:lvl w:ilvl="0" w:tplc="B5FAD638">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2816E14"/>
    <w:multiLevelType w:val="hybridMultilevel"/>
    <w:tmpl w:val="8D1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90C81"/>
    <w:multiLevelType w:val="hybridMultilevel"/>
    <w:tmpl w:val="DBBC473C"/>
    <w:lvl w:ilvl="0" w:tplc="665AE6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BA10B8"/>
    <w:multiLevelType w:val="hybridMultilevel"/>
    <w:tmpl w:val="17A0D9D4"/>
    <w:lvl w:ilvl="0" w:tplc="665AE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739A6"/>
    <w:multiLevelType w:val="hybridMultilevel"/>
    <w:tmpl w:val="18D4BA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A54E2"/>
    <w:multiLevelType w:val="multilevel"/>
    <w:tmpl w:val="F40E6174"/>
    <w:lvl w:ilvl="0">
      <w:start w:val="1"/>
      <w:numFmt w:val="lowerRoman"/>
      <w:lvlText w:val="%1."/>
      <w:lvlJc w:val="righ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6363D86A"/>
    <w:multiLevelType w:val="hybridMultilevel"/>
    <w:tmpl w:val="FFFFFFFF"/>
    <w:lvl w:ilvl="0" w:tplc="B20E6E80">
      <w:start w:val="1"/>
      <w:numFmt w:val="bullet"/>
      <w:lvlText w:val=""/>
      <w:lvlJc w:val="left"/>
      <w:pPr>
        <w:ind w:left="720" w:hanging="360"/>
      </w:pPr>
      <w:rPr>
        <w:rFonts w:ascii="Symbol" w:hAnsi="Symbol" w:hint="default"/>
      </w:rPr>
    </w:lvl>
    <w:lvl w:ilvl="1" w:tplc="897AB776">
      <w:start w:val="1"/>
      <w:numFmt w:val="bullet"/>
      <w:lvlText w:val="o"/>
      <w:lvlJc w:val="left"/>
      <w:pPr>
        <w:ind w:left="1440" w:hanging="360"/>
      </w:pPr>
      <w:rPr>
        <w:rFonts w:ascii="Courier New" w:hAnsi="Courier New" w:hint="default"/>
      </w:rPr>
    </w:lvl>
    <w:lvl w:ilvl="2" w:tplc="B89CEE24">
      <w:start w:val="1"/>
      <w:numFmt w:val="bullet"/>
      <w:lvlText w:val=""/>
      <w:lvlJc w:val="left"/>
      <w:pPr>
        <w:ind w:left="2160" w:hanging="360"/>
      </w:pPr>
      <w:rPr>
        <w:rFonts w:ascii="Wingdings" w:hAnsi="Wingdings" w:hint="default"/>
      </w:rPr>
    </w:lvl>
    <w:lvl w:ilvl="3" w:tplc="82B27592">
      <w:start w:val="1"/>
      <w:numFmt w:val="bullet"/>
      <w:lvlText w:val=""/>
      <w:lvlJc w:val="left"/>
      <w:pPr>
        <w:ind w:left="2880" w:hanging="360"/>
      </w:pPr>
      <w:rPr>
        <w:rFonts w:ascii="Symbol" w:hAnsi="Symbol" w:hint="default"/>
      </w:rPr>
    </w:lvl>
    <w:lvl w:ilvl="4" w:tplc="C0B42DC0">
      <w:start w:val="1"/>
      <w:numFmt w:val="bullet"/>
      <w:lvlText w:val="o"/>
      <w:lvlJc w:val="left"/>
      <w:pPr>
        <w:ind w:left="3600" w:hanging="360"/>
      </w:pPr>
      <w:rPr>
        <w:rFonts w:ascii="Courier New" w:hAnsi="Courier New" w:hint="default"/>
      </w:rPr>
    </w:lvl>
    <w:lvl w:ilvl="5" w:tplc="9F3C2F1E">
      <w:start w:val="1"/>
      <w:numFmt w:val="bullet"/>
      <w:lvlText w:val=""/>
      <w:lvlJc w:val="left"/>
      <w:pPr>
        <w:ind w:left="4320" w:hanging="360"/>
      </w:pPr>
      <w:rPr>
        <w:rFonts w:ascii="Wingdings" w:hAnsi="Wingdings" w:hint="default"/>
      </w:rPr>
    </w:lvl>
    <w:lvl w:ilvl="6" w:tplc="166210C2">
      <w:start w:val="1"/>
      <w:numFmt w:val="bullet"/>
      <w:lvlText w:val=""/>
      <w:lvlJc w:val="left"/>
      <w:pPr>
        <w:ind w:left="5040" w:hanging="360"/>
      </w:pPr>
      <w:rPr>
        <w:rFonts w:ascii="Symbol" w:hAnsi="Symbol" w:hint="default"/>
      </w:rPr>
    </w:lvl>
    <w:lvl w:ilvl="7" w:tplc="309C540A">
      <w:start w:val="1"/>
      <w:numFmt w:val="bullet"/>
      <w:lvlText w:val="o"/>
      <w:lvlJc w:val="left"/>
      <w:pPr>
        <w:ind w:left="5760" w:hanging="360"/>
      </w:pPr>
      <w:rPr>
        <w:rFonts w:ascii="Courier New" w:hAnsi="Courier New" w:hint="default"/>
      </w:rPr>
    </w:lvl>
    <w:lvl w:ilvl="8" w:tplc="8D34918E">
      <w:start w:val="1"/>
      <w:numFmt w:val="bullet"/>
      <w:lvlText w:val=""/>
      <w:lvlJc w:val="left"/>
      <w:pPr>
        <w:ind w:left="6480" w:hanging="360"/>
      </w:pPr>
      <w:rPr>
        <w:rFonts w:ascii="Wingdings" w:hAnsi="Wingdings" w:hint="default"/>
      </w:rPr>
    </w:lvl>
  </w:abstractNum>
  <w:abstractNum w:abstractNumId="28" w15:restartNumberingAfterBreak="0">
    <w:nsid w:val="6D911722"/>
    <w:multiLevelType w:val="hybridMultilevel"/>
    <w:tmpl w:val="3BCE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A34D5"/>
    <w:multiLevelType w:val="hybridMultilevel"/>
    <w:tmpl w:val="2F20305E"/>
    <w:lvl w:ilvl="0" w:tplc="471436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70822"/>
    <w:multiLevelType w:val="hybridMultilevel"/>
    <w:tmpl w:val="4058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F5CDF"/>
    <w:multiLevelType w:val="hybridMultilevel"/>
    <w:tmpl w:val="67E08EA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436691"/>
    <w:multiLevelType w:val="hybridMultilevel"/>
    <w:tmpl w:val="11E2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C4C30"/>
    <w:multiLevelType w:val="hybridMultilevel"/>
    <w:tmpl w:val="ED4C3E3E"/>
    <w:lvl w:ilvl="0" w:tplc="B5FAD638">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E3101C0"/>
    <w:multiLevelType w:val="hybridMultilevel"/>
    <w:tmpl w:val="B172E56C"/>
    <w:lvl w:ilvl="0" w:tplc="665AE6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A64E38"/>
    <w:multiLevelType w:val="multilevel"/>
    <w:tmpl w:val="ED0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8279935">
    <w:abstractNumId w:val="2"/>
  </w:num>
  <w:num w:numId="2" w16cid:durableId="811484680">
    <w:abstractNumId w:val="27"/>
  </w:num>
  <w:num w:numId="3" w16cid:durableId="1229729309">
    <w:abstractNumId w:val="26"/>
  </w:num>
  <w:num w:numId="4" w16cid:durableId="623078614">
    <w:abstractNumId w:val="18"/>
  </w:num>
  <w:num w:numId="5" w16cid:durableId="2113744728">
    <w:abstractNumId w:val="22"/>
  </w:num>
  <w:num w:numId="6" w16cid:durableId="48110658">
    <w:abstractNumId w:val="25"/>
  </w:num>
  <w:num w:numId="7" w16cid:durableId="1442996549">
    <w:abstractNumId w:val="30"/>
  </w:num>
  <w:num w:numId="8" w16cid:durableId="1246450602">
    <w:abstractNumId w:val="4"/>
  </w:num>
  <w:num w:numId="9" w16cid:durableId="1235513272">
    <w:abstractNumId w:val="36"/>
  </w:num>
  <w:num w:numId="10" w16cid:durableId="2043748559">
    <w:abstractNumId w:val="15"/>
  </w:num>
  <w:num w:numId="11" w16cid:durableId="1081373116">
    <w:abstractNumId w:val="19"/>
  </w:num>
  <w:num w:numId="12" w16cid:durableId="1837651831">
    <w:abstractNumId w:val="0"/>
    <w:lvlOverride w:ilvl="0">
      <w:startOverride w:val="1"/>
    </w:lvlOverride>
  </w:num>
  <w:num w:numId="13" w16cid:durableId="867327618">
    <w:abstractNumId w:val="32"/>
  </w:num>
  <w:num w:numId="14" w16cid:durableId="779446297">
    <w:abstractNumId w:val="17"/>
  </w:num>
  <w:num w:numId="15" w16cid:durableId="1128091154">
    <w:abstractNumId w:val="14"/>
  </w:num>
  <w:num w:numId="16" w16cid:durableId="658313592">
    <w:abstractNumId w:val="8"/>
  </w:num>
  <w:num w:numId="17" w16cid:durableId="700669119">
    <w:abstractNumId w:val="6"/>
  </w:num>
  <w:num w:numId="18" w16cid:durableId="1128082809">
    <w:abstractNumId w:val="11"/>
  </w:num>
  <w:num w:numId="19" w16cid:durableId="162278750">
    <w:abstractNumId w:val="28"/>
  </w:num>
  <w:num w:numId="20" w16cid:durableId="134639844">
    <w:abstractNumId w:val="10"/>
  </w:num>
  <w:num w:numId="21" w16cid:durableId="1448768754">
    <w:abstractNumId w:val="16"/>
  </w:num>
  <w:num w:numId="22" w16cid:durableId="1632979844">
    <w:abstractNumId w:val="23"/>
  </w:num>
  <w:num w:numId="23" w16cid:durableId="1210456757">
    <w:abstractNumId w:val="24"/>
  </w:num>
  <w:num w:numId="24" w16cid:durableId="2050563620">
    <w:abstractNumId w:val="35"/>
  </w:num>
  <w:num w:numId="25" w16cid:durableId="1751846516">
    <w:abstractNumId w:val="13"/>
  </w:num>
  <w:num w:numId="26" w16cid:durableId="270432742">
    <w:abstractNumId w:val="20"/>
  </w:num>
  <w:num w:numId="27" w16cid:durableId="344406825">
    <w:abstractNumId w:val="9"/>
  </w:num>
  <w:num w:numId="28" w16cid:durableId="873157829">
    <w:abstractNumId w:val="3"/>
  </w:num>
  <w:num w:numId="29" w16cid:durableId="1557354868">
    <w:abstractNumId w:val="29"/>
  </w:num>
  <w:num w:numId="30" w16cid:durableId="76370254">
    <w:abstractNumId w:val="1"/>
  </w:num>
  <w:num w:numId="31" w16cid:durableId="930116318">
    <w:abstractNumId w:val="7"/>
  </w:num>
  <w:num w:numId="32" w16cid:durableId="1630891594">
    <w:abstractNumId w:val="31"/>
  </w:num>
  <w:num w:numId="33" w16cid:durableId="359748521">
    <w:abstractNumId w:val="33"/>
  </w:num>
  <w:num w:numId="34" w16cid:durableId="923803882">
    <w:abstractNumId w:val="12"/>
  </w:num>
  <w:num w:numId="35" w16cid:durableId="537358813">
    <w:abstractNumId w:val="34"/>
  </w:num>
  <w:num w:numId="36" w16cid:durableId="521167562">
    <w:abstractNumId w:val="21"/>
  </w:num>
  <w:num w:numId="37" w16cid:durableId="14528250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0844"/>
    <w:rsid w:val="00001ACD"/>
    <w:rsid w:val="00001D16"/>
    <w:rsid w:val="00002094"/>
    <w:rsid w:val="00005ECF"/>
    <w:rsid w:val="00006130"/>
    <w:rsid w:val="00006750"/>
    <w:rsid w:val="00006B70"/>
    <w:rsid w:val="00010BC0"/>
    <w:rsid w:val="000140DA"/>
    <w:rsid w:val="000171D0"/>
    <w:rsid w:val="000173BE"/>
    <w:rsid w:val="000213FE"/>
    <w:rsid w:val="00022FC7"/>
    <w:rsid w:val="00023AA3"/>
    <w:rsid w:val="00024A9E"/>
    <w:rsid w:val="00025285"/>
    <w:rsid w:val="00025E94"/>
    <w:rsid w:val="00025EA0"/>
    <w:rsid w:val="00032BF7"/>
    <w:rsid w:val="00033D17"/>
    <w:rsid w:val="00033EB7"/>
    <w:rsid w:val="00035251"/>
    <w:rsid w:val="00036878"/>
    <w:rsid w:val="000372FF"/>
    <w:rsid w:val="0003752C"/>
    <w:rsid w:val="00041283"/>
    <w:rsid w:val="00041A53"/>
    <w:rsid w:val="00044C06"/>
    <w:rsid w:val="000465E7"/>
    <w:rsid w:val="00046EC9"/>
    <w:rsid w:val="00047D8F"/>
    <w:rsid w:val="00054524"/>
    <w:rsid w:val="00055206"/>
    <w:rsid w:val="00055F80"/>
    <w:rsid w:val="000565A6"/>
    <w:rsid w:val="00060361"/>
    <w:rsid w:val="000625D1"/>
    <w:rsid w:val="00062D72"/>
    <w:rsid w:val="00065EB4"/>
    <w:rsid w:val="00067BBE"/>
    <w:rsid w:val="00071269"/>
    <w:rsid w:val="00072198"/>
    <w:rsid w:val="00072A6C"/>
    <w:rsid w:val="00073691"/>
    <w:rsid w:val="00076C58"/>
    <w:rsid w:val="0008193A"/>
    <w:rsid w:val="00082D29"/>
    <w:rsid w:val="00082FB1"/>
    <w:rsid w:val="0008384A"/>
    <w:rsid w:val="000845E9"/>
    <w:rsid w:val="00091042"/>
    <w:rsid w:val="00091063"/>
    <w:rsid w:val="00092515"/>
    <w:rsid w:val="00092661"/>
    <w:rsid w:val="00092DA4"/>
    <w:rsid w:val="00092EEC"/>
    <w:rsid w:val="000938E4"/>
    <w:rsid w:val="00093D33"/>
    <w:rsid w:val="00094FE7"/>
    <w:rsid w:val="00095132"/>
    <w:rsid w:val="00096B74"/>
    <w:rsid w:val="000A455C"/>
    <w:rsid w:val="000A4759"/>
    <w:rsid w:val="000A4EEE"/>
    <w:rsid w:val="000A72CE"/>
    <w:rsid w:val="000A74A4"/>
    <w:rsid w:val="000B0F94"/>
    <w:rsid w:val="000B1166"/>
    <w:rsid w:val="000B203F"/>
    <w:rsid w:val="000B2D46"/>
    <w:rsid w:val="000B339E"/>
    <w:rsid w:val="000B389E"/>
    <w:rsid w:val="000B3A00"/>
    <w:rsid w:val="000B3CD9"/>
    <w:rsid w:val="000B57F2"/>
    <w:rsid w:val="000C1B9F"/>
    <w:rsid w:val="000C3524"/>
    <w:rsid w:val="000C365E"/>
    <w:rsid w:val="000C5004"/>
    <w:rsid w:val="000C569A"/>
    <w:rsid w:val="000C58AB"/>
    <w:rsid w:val="000C694E"/>
    <w:rsid w:val="000C6C6A"/>
    <w:rsid w:val="000C6CC8"/>
    <w:rsid w:val="000D05C1"/>
    <w:rsid w:val="000D0ED5"/>
    <w:rsid w:val="000D2D26"/>
    <w:rsid w:val="000D39C2"/>
    <w:rsid w:val="000D3EF7"/>
    <w:rsid w:val="000D5DE0"/>
    <w:rsid w:val="000D721D"/>
    <w:rsid w:val="000E18CA"/>
    <w:rsid w:val="000E27D6"/>
    <w:rsid w:val="000E55E8"/>
    <w:rsid w:val="000E6B5F"/>
    <w:rsid w:val="000E716E"/>
    <w:rsid w:val="000E785E"/>
    <w:rsid w:val="000E7F04"/>
    <w:rsid w:val="000F0479"/>
    <w:rsid w:val="000F140A"/>
    <w:rsid w:val="000F25C6"/>
    <w:rsid w:val="000F2C8A"/>
    <w:rsid w:val="000F4756"/>
    <w:rsid w:val="000F4F7F"/>
    <w:rsid w:val="000F532C"/>
    <w:rsid w:val="000F5D1A"/>
    <w:rsid w:val="000F6E70"/>
    <w:rsid w:val="001007D1"/>
    <w:rsid w:val="00101029"/>
    <w:rsid w:val="001018A7"/>
    <w:rsid w:val="00102C41"/>
    <w:rsid w:val="0010457D"/>
    <w:rsid w:val="00110D50"/>
    <w:rsid w:val="001112DF"/>
    <w:rsid w:val="001115E3"/>
    <w:rsid w:val="00112484"/>
    <w:rsid w:val="00112AA5"/>
    <w:rsid w:val="00112B81"/>
    <w:rsid w:val="00114ACA"/>
    <w:rsid w:val="001161CB"/>
    <w:rsid w:val="00116657"/>
    <w:rsid w:val="001176A2"/>
    <w:rsid w:val="00117E64"/>
    <w:rsid w:val="00122762"/>
    <w:rsid w:val="00122D30"/>
    <w:rsid w:val="001232FD"/>
    <w:rsid w:val="001235EB"/>
    <w:rsid w:val="00123836"/>
    <w:rsid w:val="001269D2"/>
    <w:rsid w:val="00126E96"/>
    <w:rsid w:val="00127194"/>
    <w:rsid w:val="00130A7A"/>
    <w:rsid w:val="00130AC9"/>
    <w:rsid w:val="00132568"/>
    <w:rsid w:val="001328A9"/>
    <w:rsid w:val="00132BFC"/>
    <w:rsid w:val="00133FC9"/>
    <w:rsid w:val="00134DE0"/>
    <w:rsid w:val="00135C53"/>
    <w:rsid w:val="001421D5"/>
    <w:rsid w:val="0014279E"/>
    <w:rsid w:val="0014501A"/>
    <w:rsid w:val="0014665F"/>
    <w:rsid w:val="0014791B"/>
    <w:rsid w:val="00151713"/>
    <w:rsid w:val="00151796"/>
    <w:rsid w:val="00151AB8"/>
    <w:rsid w:val="00152766"/>
    <w:rsid w:val="00153138"/>
    <w:rsid w:val="0015693A"/>
    <w:rsid w:val="00156AFE"/>
    <w:rsid w:val="001646D1"/>
    <w:rsid w:val="00164E9D"/>
    <w:rsid w:val="00164FA4"/>
    <w:rsid w:val="0017075D"/>
    <w:rsid w:val="00172425"/>
    <w:rsid w:val="001724A8"/>
    <w:rsid w:val="00173FFB"/>
    <w:rsid w:val="00174719"/>
    <w:rsid w:val="001750EF"/>
    <w:rsid w:val="00175615"/>
    <w:rsid w:val="0017585C"/>
    <w:rsid w:val="00175ADC"/>
    <w:rsid w:val="001763BA"/>
    <w:rsid w:val="00176477"/>
    <w:rsid w:val="001818FA"/>
    <w:rsid w:val="00181B1C"/>
    <w:rsid w:val="001868D7"/>
    <w:rsid w:val="00187203"/>
    <w:rsid w:val="00187428"/>
    <w:rsid w:val="00191642"/>
    <w:rsid w:val="00192235"/>
    <w:rsid w:val="00193E2A"/>
    <w:rsid w:val="00193FE5"/>
    <w:rsid w:val="001943B6"/>
    <w:rsid w:val="001969E5"/>
    <w:rsid w:val="001972CE"/>
    <w:rsid w:val="0019768D"/>
    <w:rsid w:val="001A1AD5"/>
    <w:rsid w:val="001A2559"/>
    <w:rsid w:val="001A2748"/>
    <w:rsid w:val="001A38BF"/>
    <w:rsid w:val="001A499A"/>
    <w:rsid w:val="001A4F74"/>
    <w:rsid w:val="001A5C7B"/>
    <w:rsid w:val="001A7E3C"/>
    <w:rsid w:val="001B0133"/>
    <w:rsid w:val="001B25DE"/>
    <w:rsid w:val="001B2C23"/>
    <w:rsid w:val="001B5AA2"/>
    <w:rsid w:val="001B6990"/>
    <w:rsid w:val="001B6F4C"/>
    <w:rsid w:val="001C1239"/>
    <w:rsid w:val="001C15C2"/>
    <w:rsid w:val="001C16B0"/>
    <w:rsid w:val="001C1C5C"/>
    <w:rsid w:val="001C1D56"/>
    <w:rsid w:val="001C393B"/>
    <w:rsid w:val="001C42E7"/>
    <w:rsid w:val="001C44C3"/>
    <w:rsid w:val="001C6B8E"/>
    <w:rsid w:val="001C783A"/>
    <w:rsid w:val="001D0AAD"/>
    <w:rsid w:val="001D0C4E"/>
    <w:rsid w:val="001D1012"/>
    <w:rsid w:val="001D1816"/>
    <w:rsid w:val="001D1907"/>
    <w:rsid w:val="001D1A0B"/>
    <w:rsid w:val="001D488A"/>
    <w:rsid w:val="001D4A1A"/>
    <w:rsid w:val="001D53FB"/>
    <w:rsid w:val="001D6863"/>
    <w:rsid w:val="001D6DA7"/>
    <w:rsid w:val="001E04BF"/>
    <w:rsid w:val="001E0921"/>
    <w:rsid w:val="001E225B"/>
    <w:rsid w:val="001E4F0C"/>
    <w:rsid w:val="001E6415"/>
    <w:rsid w:val="001F067B"/>
    <w:rsid w:val="001F0FFA"/>
    <w:rsid w:val="001F11D6"/>
    <w:rsid w:val="001F42CF"/>
    <w:rsid w:val="001F5639"/>
    <w:rsid w:val="00200DEA"/>
    <w:rsid w:val="002047CB"/>
    <w:rsid w:val="00205711"/>
    <w:rsid w:val="002069A5"/>
    <w:rsid w:val="00211351"/>
    <w:rsid w:val="00212442"/>
    <w:rsid w:val="002144D9"/>
    <w:rsid w:val="00214729"/>
    <w:rsid w:val="00214ACB"/>
    <w:rsid w:val="00215DF9"/>
    <w:rsid w:val="00217D2C"/>
    <w:rsid w:val="00217D48"/>
    <w:rsid w:val="00223468"/>
    <w:rsid w:val="002234DF"/>
    <w:rsid w:val="00224BEE"/>
    <w:rsid w:val="0023170B"/>
    <w:rsid w:val="002318D1"/>
    <w:rsid w:val="00233AAA"/>
    <w:rsid w:val="0023491E"/>
    <w:rsid w:val="00235226"/>
    <w:rsid w:val="00235928"/>
    <w:rsid w:val="00237A2F"/>
    <w:rsid w:val="002418F2"/>
    <w:rsid w:val="00242AB9"/>
    <w:rsid w:val="00242D08"/>
    <w:rsid w:val="00243C2D"/>
    <w:rsid w:val="00245424"/>
    <w:rsid w:val="002456AA"/>
    <w:rsid w:val="00246F61"/>
    <w:rsid w:val="00251216"/>
    <w:rsid w:val="0025252B"/>
    <w:rsid w:val="0025457D"/>
    <w:rsid w:val="00254613"/>
    <w:rsid w:val="00255A9A"/>
    <w:rsid w:val="002579EB"/>
    <w:rsid w:val="00257F22"/>
    <w:rsid w:val="00263C01"/>
    <w:rsid w:val="00264D4B"/>
    <w:rsid w:val="00266923"/>
    <w:rsid w:val="00272C6F"/>
    <w:rsid w:val="0027422C"/>
    <w:rsid w:val="00274AC0"/>
    <w:rsid w:val="002762E1"/>
    <w:rsid w:val="00276E59"/>
    <w:rsid w:val="00277BEE"/>
    <w:rsid w:val="00280A81"/>
    <w:rsid w:val="00282005"/>
    <w:rsid w:val="00283441"/>
    <w:rsid w:val="00285EEC"/>
    <w:rsid w:val="00287D7C"/>
    <w:rsid w:val="00292E0B"/>
    <w:rsid w:val="0029395B"/>
    <w:rsid w:val="00295F1D"/>
    <w:rsid w:val="002977FA"/>
    <w:rsid w:val="002A037F"/>
    <w:rsid w:val="002A1234"/>
    <w:rsid w:val="002A154E"/>
    <w:rsid w:val="002A16F6"/>
    <w:rsid w:val="002A1989"/>
    <w:rsid w:val="002A6D7D"/>
    <w:rsid w:val="002A7712"/>
    <w:rsid w:val="002A7849"/>
    <w:rsid w:val="002A7D8F"/>
    <w:rsid w:val="002B4541"/>
    <w:rsid w:val="002B4C07"/>
    <w:rsid w:val="002B5382"/>
    <w:rsid w:val="002B6146"/>
    <w:rsid w:val="002B6878"/>
    <w:rsid w:val="002B6DFC"/>
    <w:rsid w:val="002C0D11"/>
    <w:rsid w:val="002C179C"/>
    <w:rsid w:val="002C3B0D"/>
    <w:rsid w:val="002C653A"/>
    <w:rsid w:val="002C6734"/>
    <w:rsid w:val="002C6AC7"/>
    <w:rsid w:val="002C745F"/>
    <w:rsid w:val="002C7B94"/>
    <w:rsid w:val="002D1047"/>
    <w:rsid w:val="002D1893"/>
    <w:rsid w:val="002D27D0"/>
    <w:rsid w:val="002D2822"/>
    <w:rsid w:val="002D3A47"/>
    <w:rsid w:val="002D50DE"/>
    <w:rsid w:val="002D54CC"/>
    <w:rsid w:val="002E45A3"/>
    <w:rsid w:val="002E6E05"/>
    <w:rsid w:val="002E7324"/>
    <w:rsid w:val="002E7BD0"/>
    <w:rsid w:val="002F06C9"/>
    <w:rsid w:val="002F08A1"/>
    <w:rsid w:val="002F3C93"/>
    <w:rsid w:val="002F3F75"/>
    <w:rsid w:val="002F4AFC"/>
    <w:rsid w:val="002F5000"/>
    <w:rsid w:val="002F5657"/>
    <w:rsid w:val="002F7264"/>
    <w:rsid w:val="002F78DF"/>
    <w:rsid w:val="002F7E38"/>
    <w:rsid w:val="003037E5"/>
    <w:rsid w:val="00303A9B"/>
    <w:rsid w:val="00303AB6"/>
    <w:rsid w:val="0030464E"/>
    <w:rsid w:val="003123A0"/>
    <w:rsid w:val="00312474"/>
    <w:rsid w:val="00312560"/>
    <w:rsid w:val="00317171"/>
    <w:rsid w:val="00322420"/>
    <w:rsid w:val="00324E7C"/>
    <w:rsid w:val="00326B2A"/>
    <w:rsid w:val="00327567"/>
    <w:rsid w:val="003307AB"/>
    <w:rsid w:val="003333F1"/>
    <w:rsid w:val="00333A9A"/>
    <w:rsid w:val="0033427C"/>
    <w:rsid w:val="00334457"/>
    <w:rsid w:val="00334B99"/>
    <w:rsid w:val="00336862"/>
    <w:rsid w:val="00342D0C"/>
    <w:rsid w:val="00344EEB"/>
    <w:rsid w:val="00347B95"/>
    <w:rsid w:val="00347C19"/>
    <w:rsid w:val="003525C5"/>
    <w:rsid w:val="0035481B"/>
    <w:rsid w:val="003562E3"/>
    <w:rsid w:val="0035748A"/>
    <w:rsid w:val="003576E8"/>
    <w:rsid w:val="003618B8"/>
    <w:rsid w:val="00364445"/>
    <w:rsid w:val="0036577B"/>
    <w:rsid w:val="00365EE8"/>
    <w:rsid w:val="0036631F"/>
    <w:rsid w:val="003702A9"/>
    <w:rsid w:val="00370D44"/>
    <w:rsid w:val="00371C72"/>
    <w:rsid w:val="00372468"/>
    <w:rsid w:val="003729B7"/>
    <w:rsid w:val="003731EF"/>
    <w:rsid w:val="00373F17"/>
    <w:rsid w:val="00375106"/>
    <w:rsid w:val="003752B8"/>
    <w:rsid w:val="003753F7"/>
    <w:rsid w:val="0037554F"/>
    <w:rsid w:val="00377084"/>
    <w:rsid w:val="00377C9D"/>
    <w:rsid w:val="00377E9E"/>
    <w:rsid w:val="0038045E"/>
    <w:rsid w:val="00380DFE"/>
    <w:rsid w:val="00381790"/>
    <w:rsid w:val="0038233B"/>
    <w:rsid w:val="00382DAC"/>
    <w:rsid w:val="003850D3"/>
    <w:rsid w:val="003852B7"/>
    <w:rsid w:val="00385A9C"/>
    <w:rsid w:val="00386909"/>
    <w:rsid w:val="00387941"/>
    <w:rsid w:val="00387EB3"/>
    <w:rsid w:val="00390A8F"/>
    <w:rsid w:val="003928EA"/>
    <w:rsid w:val="00393361"/>
    <w:rsid w:val="00394EBE"/>
    <w:rsid w:val="0039675E"/>
    <w:rsid w:val="003A1E31"/>
    <w:rsid w:val="003A3C5A"/>
    <w:rsid w:val="003A43C1"/>
    <w:rsid w:val="003A4634"/>
    <w:rsid w:val="003A5B8B"/>
    <w:rsid w:val="003B0826"/>
    <w:rsid w:val="003B2A41"/>
    <w:rsid w:val="003B3442"/>
    <w:rsid w:val="003B44CA"/>
    <w:rsid w:val="003B45AB"/>
    <w:rsid w:val="003B5E6A"/>
    <w:rsid w:val="003B693D"/>
    <w:rsid w:val="003B7C14"/>
    <w:rsid w:val="003C26E9"/>
    <w:rsid w:val="003C51BC"/>
    <w:rsid w:val="003C5CA1"/>
    <w:rsid w:val="003C7969"/>
    <w:rsid w:val="003D2E2F"/>
    <w:rsid w:val="003D36E6"/>
    <w:rsid w:val="003D482D"/>
    <w:rsid w:val="003D51DF"/>
    <w:rsid w:val="003D55F7"/>
    <w:rsid w:val="003D5FD0"/>
    <w:rsid w:val="003D6641"/>
    <w:rsid w:val="003D691E"/>
    <w:rsid w:val="003D787D"/>
    <w:rsid w:val="003D7D58"/>
    <w:rsid w:val="003E176C"/>
    <w:rsid w:val="003E191A"/>
    <w:rsid w:val="003E19FF"/>
    <w:rsid w:val="003E6C16"/>
    <w:rsid w:val="003E71AB"/>
    <w:rsid w:val="003E7916"/>
    <w:rsid w:val="003F0C32"/>
    <w:rsid w:val="003F10E1"/>
    <w:rsid w:val="003F194A"/>
    <w:rsid w:val="003F4B89"/>
    <w:rsid w:val="003F59AC"/>
    <w:rsid w:val="003F7779"/>
    <w:rsid w:val="003F7F83"/>
    <w:rsid w:val="00402005"/>
    <w:rsid w:val="00403B31"/>
    <w:rsid w:val="0040413B"/>
    <w:rsid w:val="00405ABA"/>
    <w:rsid w:val="004067F5"/>
    <w:rsid w:val="00407475"/>
    <w:rsid w:val="00407C35"/>
    <w:rsid w:val="00410541"/>
    <w:rsid w:val="00410832"/>
    <w:rsid w:val="00410A53"/>
    <w:rsid w:val="00411514"/>
    <w:rsid w:val="00411BF0"/>
    <w:rsid w:val="00414132"/>
    <w:rsid w:val="004148DC"/>
    <w:rsid w:val="00415F0A"/>
    <w:rsid w:val="004160EF"/>
    <w:rsid w:val="004163AF"/>
    <w:rsid w:val="004200B9"/>
    <w:rsid w:val="00421D06"/>
    <w:rsid w:val="00423817"/>
    <w:rsid w:val="0042433C"/>
    <w:rsid w:val="004253B5"/>
    <w:rsid w:val="00425EEE"/>
    <w:rsid w:val="00426082"/>
    <w:rsid w:val="0042659A"/>
    <w:rsid w:val="004277D0"/>
    <w:rsid w:val="00427E12"/>
    <w:rsid w:val="004307BD"/>
    <w:rsid w:val="00430CAC"/>
    <w:rsid w:val="00431E34"/>
    <w:rsid w:val="004357D4"/>
    <w:rsid w:val="004363E8"/>
    <w:rsid w:val="004412FB"/>
    <w:rsid w:val="00441968"/>
    <w:rsid w:val="00442568"/>
    <w:rsid w:val="00442CB3"/>
    <w:rsid w:val="00442F00"/>
    <w:rsid w:val="004434E8"/>
    <w:rsid w:val="004445E0"/>
    <w:rsid w:val="004477D8"/>
    <w:rsid w:val="004535E3"/>
    <w:rsid w:val="00453E3F"/>
    <w:rsid w:val="004543B6"/>
    <w:rsid w:val="00454A4D"/>
    <w:rsid w:val="00455FD6"/>
    <w:rsid w:val="004569CF"/>
    <w:rsid w:val="00457D63"/>
    <w:rsid w:val="00457E44"/>
    <w:rsid w:val="00457EA1"/>
    <w:rsid w:val="00461B2C"/>
    <w:rsid w:val="0046660F"/>
    <w:rsid w:val="00467562"/>
    <w:rsid w:val="0047294C"/>
    <w:rsid w:val="004757B4"/>
    <w:rsid w:val="00476DEE"/>
    <w:rsid w:val="00476E83"/>
    <w:rsid w:val="00477212"/>
    <w:rsid w:val="00477AD7"/>
    <w:rsid w:val="00480939"/>
    <w:rsid w:val="00482392"/>
    <w:rsid w:val="00485B17"/>
    <w:rsid w:val="00485F6B"/>
    <w:rsid w:val="004871C4"/>
    <w:rsid w:val="004876EC"/>
    <w:rsid w:val="0049024B"/>
    <w:rsid w:val="00490A83"/>
    <w:rsid w:val="00491C76"/>
    <w:rsid w:val="00492956"/>
    <w:rsid w:val="00493046"/>
    <w:rsid w:val="004944B6"/>
    <w:rsid w:val="004949A0"/>
    <w:rsid w:val="00495499"/>
    <w:rsid w:val="0049578A"/>
    <w:rsid w:val="00496274"/>
    <w:rsid w:val="00496B84"/>
    <w:rsid w:val="004A1367"/>
    <w:rsid w:val="004A5936"/>
    <w:rsid w:val="004A651A"/>
    <w:rsid w:val="004B0DA4"/>
    <w:rsid w:val="004B1A2A"/>
    <w:rsid w:val="004B1D48"/>
    <w:rsid w:val="004B1D59"/>
    <w:rsid w:val="004B55E6"/>
    <w:rsid w:val="004B760B"/>
    <w:rsid w:val="004B78EB"/>
    <w:rsid w:val="004B7F43"/>
    <w:rsid w:val="004C0156"/>
    <w:rsid w:val="004C1BF9"/>
    <w:rsid w:val="004C2F9A"/>
    <w:rsid w:val="004C428E"/>
    <w:rsid w:val="004C4DCB"/>
    <w:rsid w:val="004C50CF"/>
    <w:rsid w:val="004C52E1"/>
    <w:rsid w:val="004C714E"/>
    <w:rsid w:val="004C734D"/>
    <w:rsid w:val="004C7E38"/>
    <w:rsid w:val="004D05D2"/>
    <w:rsid w:val="004D31DD"/>
    <w:rsid w:val="004E1B47"/>
    <w:rsid w:val="004E4360"/>
    <w:rsid w:val="004E5830"/>
    <w:rsid w:val="004E65EC"/>
    <w:rsid w:val="004E6FBE"/>
    <w:rsid w:val="004F1D39"/>
    <w:rsid w:val="004F223F"/>
    <w:rsid w:val="004F2322"/>
    <w:rsid w:val="004F4F0C"/>
    <w:rsid w:val="004F4F22"/>
    <w:rsid w:val="004F5F84"/>
    <w:rsid w:val="004F6238"/>
    <w:rsid w:val="004F71BA"/>
    <w:rsid w:val="004F73A1"/>
    <w:rsid w:val="00500206"/>
    <w:rsid w:val="005003F6"/>
    <w:rsid w:val="00501A21"/>
    <w:rsid w:val="005020C1"/>
    <w:rsid w:val="0050262C"/>
    <w:rsid w:val="00502DE3"/>
    <w:rsid w:val="005039FF"/>
    <w:rsid w:val="00503A19"/>
    <w:rsid w:val="00505074"/>
    <w:rsid w:val="00505701"/>
    <w:rsid w:val="00505743"/>
    <w:rsid w:val="00506956"/>
    <w:rsid w:val="00506F13"/>
    <w:rsid w:val="0050719D"/>
    <w:rsid w:val="00510055"/>
    <w:rsid w:val="00510417"/>
    <w:rsid w:val="00510BD4"/>
    <w:rsid w:val="00511CF7"/>
    <w:rsid w:val="00512279"/>
    <w:rsid w:val="005136BC"/>
    <w:rsid w:val="00513F2A"/>
    <w:rsid w:val="00516AFE"/>
    <w:rsid w:val="005202FB"/>
    <w:rsid w:val="00522399"/>
    <w:rsid w:val="00523ACC"/>
    <w:rsid w:val="00524EB1"/>
    <w:rsid w:val="005276CD"/>
    <w:rsid w:val="005322E6"/>
    <w:rsid w:val="00535529"/>
    <w:rsid w:val="00535C4E"/>
    <w:rsid w:val="00537589"/>
    <w:rsid w:val="00537C3A"/>
    <w:rsid w:val="005400A1"/>
    <w:rsid w:val="0054025B"/>
    <w:rsid w:val="005407B7"/>
    <w:rsid w:val="005430ED"/>
    <w:rsid w:val="00544CB5"/>
    <w:rsid w:val="0054544E"/>
    <w:rsid w:val="00546915"/>
    <w:rsid w:val="00547958"/>
    <w:rsid w:val="00547C9E"/>
    <w:rsid w:val="00550B6F"/>
    <w:rsid w:val="00551B42"/>
    <w:rsid w:val="00552132"/>
    <w:rsid w:val="005549A9"/>
    <w:rsid w:val="00555805"/>
    <w:rsid w:val="00555F9F"/>
    <w:rsid w:val="005570E5"/>
    <w:rsid w:val="00557B38"/>
    <w:rsid w:val="00557C1C"/>
    <w:rsid w:val="00557F01"/>
    <w:rsid w:val="00560ED8"/>
    <w:rsid w:val="00562522"/>
    <w:rsid w:val="0056302B"/>
    <w:rsid w:val="0056354F"/>
    <w:rsid w:val="00564C21"/>
    <w:rsid w:val="00564FB4"/>
    <w:rsid w:val="0056536B"/>
    <w:rsid w:val="005666E6"/>
    <w:rsid w:val="00566883"/>
    <w:rsid w:val="00567A3A"/>
    <w:rsid w:val="005702C2"/>
    <w:rsid w:val="005716E8"/>
    <w:rsid w:val="00572930"/>
    <w:rsid w:val="00572A55"/>
    <w:rsid w:val="005748FE"/>
    <w:rsid w:val="00575599"/>
    <w:rsid w:val="00575F43"/>
    <w:rsid w:val="005775AB"/>
    <w:rsid w:val="0058355A"/>
    <w:rsid w:val="00587471"/>
    <w:rsid w:val="00587838"/>
    <w:rsid w:val="00590975"/>
    <w:rsid w:val="005909C6"/>
    <w:rsid w:val="00591FB0"/>
    <w:rsid w:val="00593C21"/>
    <w:rsid w:val="005949FE"/>
    <w:rsid w:val="00594F1A"/>
    <w:rsid w:val="005955CD"/>
    <w:rsid w:val="0059575D"/>
    <w:rsid w:val="00595FC1"/>
    <w:rsid w:val="00597999"/>
    <w:rsid w:val="00597A79"/>
    <w:rsid w:val="005A0125"/>
    <w:rsid w:val="005A1804"/>
    <w:rsid w:val="005A5188"/>
    <w:rsid w:val="005A60BC"/>
    <w:rsid w:val="005A6313"/>
    <w:rsid w:val="005A636D"/>
    <w:rsid w:val="005A657C"/>
    <w:rsid w:val="005A7A95"/>
    <w:rsid w:val="005A7CC7"/>
    <w:rsid w:val="005B0B11"/>
    <w:rsid w:val="005B1556"/>
    <w:rsid w:val="005B1617"/>
    <w:rsid w:val="005B4D3F"/>
    <w:rsid w:val="005B54BB"/>
    <w:rsid w:val="005B6FFE"/>
    <w:rsid w:val="005C0019"/>
    <w:rsid w:val="005C10E3"/>
    <w:rsid w:val="005C121D"/>
    <w:rsid w:val="005C1807"/>
    <w:rsid w:val="005C1B4A"/>
    <w:rsid w:val="005C252A"/>
    <w:rsid w:val="005C7961"/>
    <w:rsid w:val="005C7C20"/>
    <w:rsid w:val="005D341E"/>
    <w:rsid w:val="005D4895"/>
    <w:rsid w:val="005D4ED8"/>
    <w:rsid w:val="005D5B17"/>
    <w:rsid w:val="005D635E"/>
    <w:rsid w:val="005D68D0"/>
    <w:rsid w:val="005E1832"/>
    <w:rsid w:val="005E2538"/>
    <w:rsid w:val="005E25B1"/>
    <w:rsid w:val="005E2A3F"/>
    <w:rsid w:val="005E2DC9"/>
    <w:rsid w:val="005E34CA"/>
    <w:rsid w:val="005E566A"/>
    <w:rsid w:val="005E578B"/>
    <w:rsid w:val="005E5A6F"/>
    <w:rsid w:val="005E68DE"/>
    <w:rsid w:val="005E7F18"/>
    <w:rsid w:val="005F28F6"/>
    <w:rsid w:val="005F3CC9"/>
    <w:rsid w:val="005F468A"/>
    <w:rsid w:val="005F5DE5"/>
    <w:rsid w:val="00601F6D"/>
    <w:rsid w:val="00602197"/>
    <w:rsid w:val="00602E60"/>
    <w:rsid w:val="00602EC2"/>
    <w:rsid w:val="00603992"/>
    <w:rsid w:val="0060499B"/>
    <w:rsid w:val="0060523E"/>
    <w:rsid w:val="006066A0"/>
    <w:rsid w:val="00606915"/>
    <w:rsid w:val="0060695D"/>
    <w:rsid w:val="00610D92"/>
    <w:rsid w:val="006116BF"/>
    <w:rsid w:val="0061216D"/>
    <w:rsid w:val="00614641"/>
    <w:rsid w:val="00614983"/>
    <w:rsid w:val="006151A2"/>
    <w:rsid w:val="00616ACA"/>
    <w:rsid w:val="00620F8D"/>
    <w:rsid w:val="00623F45"/>
    <w:rsid w:val="00626ED6"/>
    <w:rsid w:val="0062716E"/>
    <w:rsid w:val="00627A99"/>
    <w:rsid w:val="0063205F"/>
    <w:rsid w:val="0063250C"/>
    <w:rsid w:val="006328CB"/>
    <w:rsid w:val="00633802"/>
    <w:rsid w:val="00633DAA"/>
    <w:rsid w:val="00634689"/>
    <w:rsid w:val="00635C6B"/>
    <w:rsid w:val="00636707"/>
    <w:rsid w:val="006367AC"/>
    <w:rsid w:val="0063730A"/>
    <w:rsid w:val="0063796A"/>
    <w:rsid w:val="00640214"/>
    <w:rsid w:val="00641422"/>
    <w:rsid w:val="00641A83"/>
    <w:rsid w:val="00642419"/>
    <w:rsid w:val="00643541"/>
    <w:rsid w:val="00644777"/>
    <w:rsid w:val="00645649"/>
    <w:rsid w:val="00645676"/>
    <w:rsid w:val="00647147"/>
    <w:rsid w:val="00650420"/>
    <w:rsid w:val="00650EE5"/>
    <w:rsid w:val="0065208E"/>
    <w:rsid w:val="0065234C"/>
    <w:rsid w:val="00652350"/>
    <w:rsid w:val="00652940"/>
    <w:rsid w:val="0065333B"/>
    <w:rsid w:val="00653736"/>
    <w:rsid w:val="006542AA"/>
    <w:rsid w:val="00654631"/>
    <w:rsid w:val="006549BB"/>
    <w:rsid w:val="00654F85"/>
    <w:rsid w:val="006566FB"/>
    <w:rsid w:val="00656E3B"/>
    <w:rsid w:val="00657C2A"/>
    <w:rsid w:val="00662136"/>
    <w:rsid w:val="006622D8"/>
    <w:rsid w:val="006640A9"/>
    <w:rsid w:val="00664DFF"/>
    <w:rsid w:val="006655F1"/>
    <w:rsid w:val="00666CAD"/>
    <w:rsid w:val="00667289"/>
    <w:rsid w:val="00671672"/>
    <w:rsid w:val="00671739"/>
    <w:rsid w:val="00672158"/>
    <w:rsid w:val="00675554"/>
    <w:rsid w:val="006773EA"/>
    <w:rsid w:val="00680BD2"/>
    <w:rsid w:val="0068223F"/>
    <w:rsid w:val="006830E0"/>
    <w:rsid w:val="00683A34"/>
    <w:rsid w:val="00684B46"/>
    <w:rsid w:val="00685C59"/>
    <w:rsid w:val="006867F1"/>
    <w:rsid w:val="00686EF6"/>
    <w:rsid w:val="00687B2E"/>
    <w:rsid w:val="0069472D"/>
    <w:rsid w:val="00694D00"/>
    <w:rsid w:val="00694E12"/>
    <w:rsid w:val="00695D6E"/>
    <w:rsid w:val="0069734C"/>
    <w:rsid w:val="006A06C5"/>
    <w:rsid w:val="006A13E0"/>
    <w:rsid w:val="006A56E6"/>
    <w:rsid w:val="006A7056"/>
    <w:rsid w:val="006A78F4"/>
    <w:rsid w:val="006B118A"/>
    <w:rsid w:val="006B119D"/>
    <w:rsid w:val="006B1EA8"/>
    <w:rsid w:val="006B285D"/>
    <w:rsid w:val="006B3920"/>
    <w:rsid w:val="006B3DE6"/>
    <w:rsid w:val="006B4B89"/>
    <w:rsid w:val="006B7D5B"/>
    <w:rsid w:val="006C03CD"/>
    <w:rsid w:val="006C0BD0"/>
    <w:rsid w:val="006C1663"/>
    <w:rsid w:val="006C1ADA"/>
    <w:rsid w:val="006C2604"/>
    <w:rsid w:val="006D0D6A"/>
    <w:rsid w:val="006D0EA3"/>
    <w:rsid w:val="006D18FE"/>
    <w:rsid w:val="006D1C1E"/>
    <w:rsid w:val="006D2F92"/>
    <w:rsid w:val="006D308B"/>
    <w:rsid w:val="006D49C8"/>
    <w:rsid w:val="006D539F"/>
    <w:rsid w:val="006D77E9"/>
    <w:rsid w:val="006D7A2E"/>
    <w:rsid w:val="006E01CB"/>
    <w:rsid w:val="006E0EC4"/>
    <w:rsid w:val="006E43C7"/>
    <w:rsid w:val="006E4820"/>
    <w:rsid w:val="006E4CB1"/>
    <w:rsid w:val="006E6ED7"/>
    <w:rsid w:val="006E7D27"/>
    <w:rsid w:val="006F03D8"/>
    <w:rsid w:val="006F1412"/>
    <w:rsid w:val="006F1C5B"/>
    <w:rsid w:val="006F1D2A"/>
    <w:rsid w:val="006F3CD2"/>
    <w:rsid w:val="006F53EF"/>
    <w:rsid w:val="006F69E7"/>
    <w:rsid w:val="006F6A08"/>
    <w:rsid w:val="006F7516"/>
    <w:rsid w:val="00700229"/>
    <w:rsid w:val="00702326"/>
    <w:rsid w:val="0070361D"/>
    <w:rsid w:val="0070389F"/>
    <w:rsid w:val="007039FD"/>
    <w:rsid w:val="00703FEB"/>
    <w:rsid w:val="0070422B"/>
    <w:rsid w:val="0070507B"/>
    <w:rsid w:val="00706DE7"/>
    <w:rsid w:val="00711E1B"/>
    <w:rsid w:val="0071340A"/>
    <w:rsid w:val="00713A86"/>
    <w:rsid w:val="00714C83"/>
    <w:rsid w:val="00717494"/>
    <w:rsid w:val="00720421"/>
    <w:rsid w:val="007218A3"/>
    <w:rsid w:val="00722863"/>
    <w:rsid w:val="007247DE"/>
    <w:rsid w:val="00725640"/>
    <w:rsid w:val="00727863"/>
    <w:rsid w:val="007304E7"/>
    <w:rsid w:val="00731C0D"/>
    <w:rsid w:val="00732A4D"/>
    <w:rsid w:val="0073370B"/>
    <w:rsid w:val="007361EA"/>
    <w:rsid w:val="00736839"/>
    <w:rsid w:val="007369D1"/>
    <w:rsid w:val="007369DB"/>
    <w:rsid w:val="00736CAB"/>
    <w:rsid w:val="0074043C"/>
    <w:rsid w:val="00741460"/>
    <w:rsid w:val="00742268"/>
    <w:rsid w:val="007423AA"/>
    <w:rsid w:val="0074330D"/>
    <w:rsid w:val="0074489B"/>
    <w:rsid w:val="00746937"/>
    <w:rsid w:val="00746BE4"/>
    <w:rsid w:val="00747F57"/>
    <w:rsid w:val="00750509"/>
    <w:rsid w:val="0075087B"/>
    <w:rsid w:val="00750E83"/>
    <w:rsid w:val="00751A00"/>
    <w:rsid w:val="00756290"/>
    <w:rsid w:val="007564D8"/>
    <w:rsid w:val="007604AE"/>
    <w:rsid w:val="00760EE3"/>
    <w:rsid w:val="00762319"/>
    <w:rsid w:val="0076303A"/>
    <w:rsid w:val="00764622"/>
    <w:rsid w:val="007655AE"/>
    <w:rsid w:val="00765859"/>
    <w:rsid w:val="00766399"/>
    <w:rsid w:val="007669B2"/>
    <w:rsid w:val="00767598"/>
    <w:rsid w:val="00770027"/>
    <w:rsid w:val="00770721"/>
    <w:rsid w:val="0077128A"/>
    <w:rsid w:val="00771A1C"/>
    <w:rsid w:val="00771E6F"/>
    <w:rsid w:val="00775287"/>
    <w:rsid w:val="00777DC7"/>
    <w:rsid w:val="00780B2B"/>
    <w:rsid w:val="0078241B"/>
    <w:rsid w:val="00782766"/>
    <w:rsid w:val="00782B9E"/>
    <w:rsid w:val="0078322F"/>
    <w:rsid w:val="00783889"/>
    <w:rsid w:val="00786334"/>
    <w:rsid w:val="007866ED"/>
    <w:rsid w:val="00787F70"/>
    <w:rsid w:val="007902AF"/>
    <w:rsid w:val="00790AFC"/>
    <w:rsid w:val="00791B9D"/>
    <w:rsid w:val="00791E52"/>
    <w:rsid w:val="00791E6B"/>
    <w:rsid w:val="00794AE7"/>
    <w:rsid w:val="00794DAF"/>
    <w:rsid w:val="00794E6A"/>
    <w:rsid w:val="007950FB"/>
    <w:rsid w:val="00795410"/>
    <w:rsid w:val="00795E1E"/>
    <w:rsid w:val="00796E99"/>
    <w:rsid w:val="007A0A17"/>
    <w:rsid w:val="007A0DD0"/>
    <w:rsid w:val="007A1C8A"/>
    <w:rsid w:val="007A32B0"/>
    <w:rsid w:val="007A36E6"/>
    <w:rsid w:val="007A5525"/>
    <w:rsid w:val="007A7B37"/>
    <w:rsid w:val="007B25A1"/>
    <w:rsid w:val="007B4229"/>
    <w:rsid w:val="007B5983"/>
    <w:rsid w:val="007B668F"/>
    <w:rsid w:val="007B691D"/>
    <w:rsid w:val="007C099A"/>
    <w:rsid w:val="007C1510"/>
    <w:rsid w:val="007C38F5"/>
    <w:rsid w:val="007C3A52"/>
    <w:rsid w:val="007C3ECB"/>
    <w:rsid w:val="007C56C1"/>
    <w:rsid w:val="007C65C4"/>
    <w:rsid w:val="007D5F47"/>
    <w:rsid w:val="007D6CF6"/>
    <w:rsid w:val="007D6EEA"/>
    <w:rsid w:val="007D76D6"/>
    <w:rsid w:val="007E169A"/>
    <w:rsid w:val="007E671F"/>
    <w:rsid w:val="007E672B"/>
    <w:rsid w:val="007E6CED"/>
    <w:rsid w:val="007E70B1"/>
    <w:rsid w:val="007E7770"/>
    <w:rsid w:val="007F1883"/>
    <w:rsid w:val="007F1D8A"/>
    <w:rsid w:val="007F21A5"/>
    <w:rsid w:val="007F24C8"/>
    <w:rsid w:val="007F2A55"/>
    <w:rsid w:val="007F2D16"/>
    <w:rsid w:val="007F33C4"/>
    <w:rsid w:val="007F569A"/>
    <w:rsid w:val="007F5A5A"/>
    <w:rsid w:val="007F5AFE"/>
    <w:rsid w:val="007F60A8"/>
    <w:rsid w:val="007F6312"/>
    <w:rsid w:val="007F6C34"/>
    <w:rsid w:val="007F6CC5"/>
    <w:rsid w:val="00800392"/>
    <w:rsid w:val="008013A7"/>
    <w:rsid w:val="00801A38"/>
    <w:rsid w:val="00806700"/>
    <w:rsid w:val="00807049"/>
    <w:rsid w:val="00810651"/>
    <w:rsid w:val="00811F37"/>
    <w:rsid w:val="0081372B"/>
    <w:rsid w:val="00813F0D"/>
    <w:rsid w:val="00814550"/>
    <w:rsid w:val="00821CDC"/>
    <w:rsid w:val="008226CD"/>
    <w:rsid w:val="00823613"/>
    <w:rsid w:val="00824844"/>
    <w:rsid w:val="008267F2"/>
    <w:rsid w:val="00827C92"/>
    <w:rsid w:val="00827E2C"/>
    <w:rsid w:val="008301A9"/>
    <w:rsid w:val="008314E9"/>
    <w:rsid w:val="00831645"/>
    <w:rsid w:val="00833110"/>
    <w:rsid w:val="00833F8A"/>
    <w:rsid w:val="0083563B"/>
    <w:rsid w:val="008416EB"/>
    <w:rsid w:val="008426FA"/>
    <w:rsid w:val="008502E0"/>
    <w:rsid w:val="008503B5"/>
    <w:rsid w:val="008523C4"/>
    <w:rsid w:val="00853DB2"/>
    <w:rsid w:val="00855E1A"/>
    <w:rsid w:val="00860725"/>
    <w:rsid w:val="00861929"/>
    <w:rsid w:val="0086227B"/>
    <w:rsid w:val="0086279D"/>
    <w:rsid w:val="0086282C"/>
    <w:rsid w:val="00865638"/>
    <w:rsid w:val="00867241"/>
    <w:rsid w:val="00867BE8"/>
    <w:rsid w:val="00872B7D"/>
    <w:rsid w:val="008733BB"/>
    <w:rsid w:val="00875C98"/>
    <w:rsid w:val="00875D72"/>
    <w:rsid w:val="00875ECA"/>
    <w:rsid w:val="0087608A"/>
    <w:rsid w:val="008838E7"/>
    <w:rsid w:val="00883DE5"/>
    <w:rsid w:val="00884A20"/>
    <w:rsid w:val="00885726"/>
    <w:rsid w:val="0088637B"/>
    <w:rsid w:val="00890E32"/>
    <w:rsid w:val="00891252"/>
    <w:rsid w:val="008938EB"/>
    <w:rsid w:val="0089793E"/>
    <w:rsid w:val="00897967"/>
    <w:rsid w:val="008A0746"/>
    <w:rsid w:val="008A1612"/>
    <w:rsid w:val="008A2014"/>
    <w:rsid w:val="008A22D5"/>
    <w:rsid w:val="008A4B25"/>
    <w:rsid w:val="008A5E72"/>
    <w:rsid w:val="008B0EAF"/>
    <w:rsid w:val="008B1ED1"/>
    <w:rsid w:val="008B4D63"/>
    <w:rsid w:val="008B5D5F"/>
    <w:rsid w:val="008B778A"/>
    <w:rsid w:val="008B7A70"/>
    <w:rsid w:val="008C0675"/>
    <w:rsid w:val="008C12ED"/>
    <w:rsid w:val="008C34CF"/>
    <w:rsid w:val="008C372D"/>
    <w:rsid w:val="008C3810"/>
    <w:rsid w:val="008C3949"/>
    <w:rsid w:val="008C5460"/>
    <w:rsid w:val="008C5CBC"/>
    <w:rsid w:val="008C7135"/>
    <w:rsid w:val="008C72E3"/>
    <w:rsid w:val="008C79C1"/>
    <w:rsid w:val="008D007C"/>
    <w:rsid w:val="008D1991"/>
    <w:rsid w:val="008D257A"/>
    <w:rsid w:val="008D35FA"/>
    <w:rsid w:val="008D49B9"/>
    <w:rsid w:val="008D5881"/>
    <w:rsid w:val="008D5A97"/>
    <w:rsid w:val="008D5E39"/>
    <w:rsid w:val="008D6311"/>
    <w:rsid w:val="008D73AC"/>
    <w:rsid w:val="008D7789"/>
    <w:rsid w:val="008D7F86"/>
    <w:rsid w:val="008E19D7"/>
    <w:rsid w:val="008E2388"/>
    <w:rsid w:val="008E4635"/>
    <w:rsid w:val="008E5EA6"/>
    <w:rsid w:val="008E65E2"/>
    <w:rsid w:val="008F09B7"/>
    <w:rsid w:val="008F1EBF"/>
    <w:rsid w:val="008F2739"/>
    <w:rsid w:val="008F2838"/>
    <w:rsid w:val="008F312A"/>
    <w:rsid w:val="008F420A"/>
    <w:rsid w:val="008F690D"/>
    <w:rsid w:val="008F6C17"/>
    <w:rsid w:val="00900778"/>
    <w:rsid w:val="009026AC"/>
    <w:rsid w:val="00903099"/>
    <w:rsid w:val="00904090"/>
    <w:rsid w:val="00905BC6"/>
    <w:rsid w:val="009100A8"/>
    <w:rsid w:val="00910F26"/>
    <w:rsid w:val="00912920"/>
    <w:rsid w:val="00913CA4"/>
    <w:rsid w:val="00915A55"/>
    <w:rsid w:val="00915F9E"/>
    <w:rsid w:val="00917BB9"/>
    <w:rsid w:val="00920183"/>
    <w:rsid w:val="009201D8"/>
    <w:rsid w:val="0092070B"/>
    <w:rsid w:val="00920D2A"/>
    <w:rsid w:val="009228E9"/>
    <w:rsid w:val="0092336C"/>
    <w:rsid w:val="0092344A"/>
    <w:rsid w:val="0092710B"/>
    <w:rsid w:val="009304B8"/>
    <w:rsid w:val="00931AEC"/>
    <w:rsid w:val="00932902"/>
    <w:rsid w:val="00932E15"/>
    <w:rsid w:val="009335F5"/>
    <w:rsid w:val="009337FB"/>
    <w:rsid w:val="009344B0"/>
    <w:rsid w:val="00936F07"/>
    <w:rsid w:val="009415FF"/>
    <w:rsid w:val="00943DD3"/>
    <w:rsid w:val="0094593C"/>
    <w:rsid w:val="00945A0D"/>
    <w:rsid w:val="00946663"/>
    <w:rsid w:val="009472EB"/>
    <w:rsid w:val="009518F2"/>
    <w:rsid w:val="00953F47"/>
    <w:rsid w:val="009541B1"/>
    <w:rsid w:val="0095703D"/>
    <w:rsid w:val="00962E9D"/>
    <w:rsid w:val="00965624"/>
    <w:rsid w:val="0096672C"/>
    <w:rsid w:val="00967D00"/>
    <w:rsid w:val="0097188D"/>
    <w:rsid w:val="0097243E"/>
    <w:rsid w:val="00972BE8"/>
    <w:rsid w:val="0097363F"/>
    <w:rsid w:val="00974B89"/>
    <w:rsid w:val="00975ADA"/>
    <w:rsid w:val="009764B4"/>
    <w:rsid w:val="009765A8"/>
    <w:rsid w:val="00977D6F"/>
    <w:rsid w:val="00977F91"/>
    <w:rsid w:val="00981A56"/>
    <w:rsid w:val="00983788"/>
    <w:rsid w:val="00983F17"/>
    <w:rsid w:val="0099059A"/>
    <w:rsid w:val="00992526"/>
    <w:rsid w:val="00992D40"/>
    <w:rsid w:val="00995899"/>
    <w:rsid w:val="009961BB"/>
    <w:rsid w:val="00997685"/>
    <w:rsid w:val="00997E79"/>
    <w:rsid w:val="009A0143"/>
    <w:rsid w:val="009A1ACE"/>
    <w:rsid w:val="009A1DD3"/>
    <w:rsid w:val="009A3584"/>
    <w:rsid w:val="009A39F6"/>
    <w:rsid w:val="009A4FA8"/>
    <w:rsid w:val="009A5CE0"/>
    <w:rsid w:val="009B2B8F"/>
    <w:rsid w:val="009B43DD"/>
    <w:rsid w:val="009B4856"/>
    <w:rsid w:val="009B4AC1"/>
    <w:rsid w:val="009B6AA0"/>
    <w:rsid w:val="009C054A"/>
    <w:rsid w:val="009C1F9F"/>
    <w:rsid w:val="009C2EBA"/>
    <w:rsid w:val="009C5A61"/>
    <w:rsid w:val="009C5B2E"/>
    <w:rsid w:val="009C6B97"/>
    <w:rsid w:val="009C6FB6"/>
    <w:rsid w:val="009D22A7"/>
    <w:rsid w:val="009D5226"/>
    <w:rsid w:val="009D5304"/>
    <w:rsid w:val="009D68C0"/>
    <w:rsid w:val="009D6B1B"/>
    <w:rsid w:val="009E02FD"/>
    <w:rsid w:val="009E1EA7"/>
    <w:rsid w:val="009E2F9F"/>
    <w:rsid w:val="009E3E20"/>
    <w:rsid w:val="009E5217"/>
    <w:rsid w:val="009E5850"/>
    <w:rsid w:val="009E6ABD"/>
    <w:rsid w:val="009E6C0C"/>
    <w:rsid w:val="009F1867"/>
    <w:rsid w:val="009F421A"/>
    <w:rsid w:val="009F62C7"/>
    <w:rsid w:val="009F6F9D"/>
    <w:rsid w:val="009F7B51"/>
    <w:rsid w:val="00A01F9E"/>
    <w:rsid w:val="00A025D3"/>
    <w:rsid w:val="00A0361A"/>
    <w:rsid w:val="00A03EED"/>
    <w:rsid w:val="00A06271"/>
    <w:rsid w:val="00A07C34"/>
    <w:rsid w:val="00A10D19"/>
    <w:rsid w:val="00A11DF0"/>
    <w:rsid w:val="00A1255D"/>
    <w:rsid w:val="00A128ED"/>
    <w:rsid w:val="00A1346E"/>
    <w:rsid w:val="00A14B01"/>
    <w:rsid w:val="00A15F49"/>
    <w:rsid w:val="00A164F1"/>
    <w:rsid w:val="00A17807"/>
    <w:rsid w:val="00A20B1F"/>
    <w:rsid w:val="00A213FE"/>
    <w:rsid w:val="00A27CC6"/>
    <w:rsid w:val="00A300F5"/>
    <w:rsid w:val="00A302FB"/>
    <w:rsid w:val="00A30E32"/>
    <w:rsid w:val="00A3480A"/>
    <w:rsid w:val="00A36F04"/>
    <w:rsid w:val="00A3716E"/>
    <w:rsid w:val="00A37644"/>
    <w:rsid w:val="00A37A5C"/>
    <w:rsid w:val="00A40130"/>
    <w:rsid w:val="00A40EBE"/>
    <w:rsid w:val="00A4292D"/>
    <w:rsid w:val="00A44B7B"/>
    <w:rsid w:val="00A46678"/>
    <w:rsid w:val="00A47C97"/>
    <w:rsid w:val="00A50D1B"/>
    <w:rsid w:val="00A51B36"/>
    <w:rsid w:val="00A5234A"/>
    <w:rsid w:val="00A52FE2"/>
    <w:rsid w:val="00A5371F"/>
    <w:rsid w:val="00A53846"/>
    <w:rsid w:val="00A5448A"/>
    <w:rsid w:val="00A54A90"/>
    <w:rsid w:val="00A555B8"/>
    <w:rsid w:val="00A5580F"/>
    <w:rsid w:val="00A55D09"/>
    <w:rsid w:val="00A56BB9"/>
    <w:rsid w:val="00A57B49"/>
    <w:rsid w:val="00A62038"/>
    <w:rsid w:val="00A632E9"/>
    <w:rsid w:val="00A63E2A"/>
    <w:rsid w:val="00A63F3F"/>
    <w:rsid w:val="00A6400D"/>
    <w:rsid w:val="00A65E55"/>
    <w:rsid w:val="00A673F3"/>
    <w:rsid w:val="00A67816"/>
    <w:rsid w:val="00A7006C"/>
    <w:rsid w:val="00A703A5"/>
    <w:rsid w:val="00A728E9"/>
    <w:rsid w:val="00A72F0A"/>
    <w:rsid w:val="00A7415B"/>
    <w:rsid w:val="00A76FF4"/>
    <w:rsid w:val="00A802AB"/>
    <w:rsid w:val="00A80F57"/>
    <w:rsid w:val="00A814D3"/>
    <w:rsid w:val="00A815AD"/>
    <w:rsid w:val="00A81892"/>
    <w:rsid w:val="00A81B12"/>
    <w:rsid w:val="00A823A2"/>
    <w:rsid w:val="00A834FB"/>
    <w:rsid w:val="00A83FE7"/>
    <w:rsid w:val="00A84650"/>
    <w:rsid w:val="00A84B1C"/>
    <w:rsid w:val="00A84C65"/>
    <w:rsid w:val="00A8607B"/>
    <w:rsid w:val="00A87EDC"/>
    <w:rsid w:val="00A9077C"/>
    <w:rsid w:val="00A907F2"/>
    <w:rsid w:val="00A90AA3"/>
    <w:rsid w:val="00A90ABD"/>
    <w:rsid w:val="00A91771"/>
    <w:rsid w:val="00A93EF2"/>
    <w:rsid w:val="00A94219"/>
    <w:rsid w:val="00A9512A"/>
    <w:rsid w:val="00A95142"/>
    <w:rsid w:val="00AA162F"/>
    <w:rsid w:val="00AA2E40"/>
    <w:rsid w:val="00AA4EDC"/>
    <w:rsid w:val="00AA53A1"/>
    <w:rsid w:val="00AA5C25"/>
    <w:rsid w:val="00AA609C"/>
    <w:rsid w:val="00AA6C27"/>
    <w:rsid w:val="00AA7491"/>
    <w:rsid w:val="00AA7B2E"/>
    <w:rsid w:val="00AB41A0"/>
    <w:rsid w:val="00AB498E"/>
    <w:rsid w:val="00AC1101"/>
    <w:rsid w:val="00AC3B58"/>
    <w:rsid w:val="00AC525F"/>
    <w:rsid w:val="00AC5D26"/>
    <w:rsid w:val="00AC6AD5"/>
    <w:rsid w:val="00AC7C00"/>
    <w:rsid w:val="00AD251D"/>
    <w:rsid w:val="00AD25C0"/>
    <w:rsid w:val="00AD2A66"/>
    <w:rsid w:val="00AD2C69"/>
    <w:rsid w:val="00AD50DC"/>
    <w:rsid w:val="00AD754F"/>
    <w:rsid w:val="00AE0EC4"/>
    <w:rsid w:val="00AE11A2"/>
    <w:rsid w:val="00AE2366"/>
    <w:rsid w:val="00AE38C3"/>
    <w:rsid w:val="00AE3C3C"/>
    <w:rsid w:val="00AE4C95"/>
    <w:rsid w:val="00AE58DA"/>
    <w:rsid w:val="00AE68FA"/>
    <w:rsid w:val="00AE6A25"/>
    <w:rsid w:val="00AE7A16"/>
    <w:rsid w:val="00AE7BE8"/>
    <w:rsid w:val="00AE7DFE"/>
    <w:rsid w:val="00AF0339"/>
    <w:rsid w:val="00AF123C"/>
    <w:rsid w:val="00AF142C"/>
    <w:rsid w:val="00AF2CE0"/>
    <w:rsid w:val="00AF2E2C"/>
    <w:rsid w:val="00AF42BB"/>
    <w:rsid w:val="00AF497E"/>
    <w:rsid w:val="00AF59C0"/>
    <w:rsid w:val="00AF61F9"/>
    <w:rsid w:val="00AF7E50"/>
    <w:rsid w:val="00B0058D"/>
    <w:rsid w:val="00B0073F"/>
    <w:rsid w:val="00B00FE8"/>
    <w:rsid w:val="00B0155E"/>
    <w:rsid w:val="00B027AB"/>
    <w:rsid w:val="00B02BD8"/>
    <w:rsid w:val="00B05294"/>
    <w:rsid w:val="00B0608D"/>
    <w:rsid w:val="00B07274"/>
    <w:rsid w:val="00B07720"/>
    <w:rsid w:val="00B07D4F"/>
    <w:rsid w:val="00B102BD"/>
    <w:rsid w:val="00B10582"/>
    <w:rsid w:val="00B11A4D"/>
    <w:rsid w:val="00B13978"/>
    <w:rsid w:val="00B147CD"/>
    <w:rsid w:val="00B17900"/>
    <w:rsid w:val="00B209BE"/>
    <w:rsid w:val="00B231E0"/>
    <w:rsid w:val="00B262C7"/>
    <w:rsid w:val="00B26FF4"/>
    <w:rsid w:val="00B30163"/>
    <w:rsid w:val="00B310D6"/>
    <w:rsid w:val="00B31194"/>
    <w:rsid w:val="00B31CFC"/>
    <w:rsid w:val="00B31D32"/>
    <w:rsid w:val="00B32F26"/>
    <w:rsid w:val="00B43889"/>
    <w:rsid w:val="00B44483"/>
    <w:rsid w:val="00B51BA6"/>
    <w:rsid w:val="00B52AD7"/>
    <w:rsid w:val="00B53EBA"/>
    <w:rsid w:val="00B53FE1"/>
    <w:rsid w:val="00B5503B"/>
    <w:rsid w:val="00B555AB"/>
    <w:rsid w:val="00B55C17"/>
    <w:rsid w:val="00B5629F"/>
    <w:rsid w:val="00B57C25"/>
    <w:rsid w:val="00B57E9E"/>
    <w:rsid w:val="00B61601"/>
    <w:rsid w:val="00B61EE1"/>
    <w:rsid w:val="00B62969"/>
    <w:rsid w:val="00B67C79"/>
    <w:rsid w:val="00B73684"/>
    <w:rsid w:val="00B73A5C"/>
    <w:rsid w:val="00B7482C"/>
    <w:rsid w:val="00B80080"/>
    <w:rsid w:val="00B80F6B"/>
    <w:rsid w:val="00B829AE"/>
    <w:rsid w:val="00B85171"/>
    <w:rsid w:val="00B90902"/>
    <w:rsid w:val="00B9302C"/>
    <w:rsid w:val="00B94F3C"/>
    <w:rsid w:val="00B94FCD"/>
    <w:rsid w:val="00B95BF3"/>
    <w:rsid w:val="00B9685A"/>
    <w:rsid w:val="00BA0D42"/>
    <w:rsid w:val="00BA32B0"/>
    <w:rsid w:val="00BA52C6"/>
    <w:rsid w:val="00BA5B8B"/>
    <w:rsid w:val="00BA6AC8"/>
    <w:rsid w:val="00BA6E39"/>
    <w:rsid w:val="00BA72E3"/>
    <w:rsid w:val="00BB09CC"/>
    <w:rsid w:val="00BB1F93"/>
    <w:rsid w:val="00BB3744"/>
    <w:rsid w:val="00BB5B57"/>
    <w:rsid w:val="00BC09B8"/>
    <w:rsid w:val="00BC13CB"/>
    <w:rsid w:val="00BC18DB"/>
    <w:rsid w:val="00BC25D6"/>
    <w:rsid w:val="00BC415D"/>
    <w:rsid w:val="00BC4267"/>
    <w:rsid w:val="00BC5E66"/>
    <w:rsid w:val="00BC6E48"/>
    <w:rsid w:val="00BC74F7"/>
    <w:rsid w:val="00BC7C89"/>
    <w:rsid w:val="00BD3298"/>
    <w:rsid w:val="00BD36F7"/>
    <w:rsid w:val="00BD3EE3"/>
    <w:rsid w:val="00BD4298"/>
    <w:rsid w:val="00BD4599"/>
    <w:rsid w:val="00BD48D9"/>
    <w:rsid w:val="00BD5245"/>
    <w:rsid w:val="00BD57A8"/>
    <w:rsid w:val="00BE1C29"/>
    <w:rsid w:val="00BE215B"/>
    <w:rsid w:val="00BE38E5"/>
    <w:rsid w:val="00BE3CFC"/>
    <w:rsid w:val="00BE3F6C"/>
    <w:rsid w:val="00BE533E"/>
    <w:rsid w:val="00BE67EC"/>
    <w:rsid w:val="00BE792A"/>
    <w:rsid w:val="00BF0DBA"/>
    <w:rsid w:val="00BF29A1"/>
    <w:rsid w:val="00BF2CAE"/>
    <w:rsid w:val="00BF44F7"/>
    <w:rsid w:val="00BF47F4"/>
    <w:rsid w:val="00BF56E3"/>
    <w:rsid w:val="00BF60C8"/>
    <w:rsid w:val="00C003B3"/>
    <w:rsid w:val="00C00E28"/>
    <w:rsid w:val="00C01F52"/>
    <w:rsid w:val="00C028E2"/>
    <w:rsid w:val="00C038D2"/>
    <w:rsid w:val="00C04905"/>
    <w:rsid w:val="00C04BA3"/>
    <w:rsid w:val="00C06906"/>
    <w:rsid w:val="00C1261A"/>
    <w:rsid w:val="00C12777"/>
    <w:rsid w:val="00C13ED1"/>
    <w:rsid w:val="00C15216"/>
    <w:rsid w:val="00C16CC8"/>
    <w:rsid w:val="00C2095D"/>
    <w:rsid w:val="00C21117"/>
    <w:rsid w:val="00C2197A"/>
    <w:rsid w:val="00C21AF4"/>
    <w:rsid w:val="00C21B3B"/>
    <w:rsid w:val="00C22999"/>
    <w:rsid w:val="00C229FF"/>
    <w:rsid w:val="00C3292A"/>
    <w:rsid w:val="00C32DC5"/>
    <w:rsid w:val="00C33199"/>
    <w:rsid w:val="00C34766"/>
    <w:rsid w:val="00C3492E"/>
    <w:rsid w:val="00C353D8"/>
    <w:rsid w:val="00C35CF2"/>
    <w:rsid w:val="00C3772D"/>
    <w:rsid w:val="00C379EC"/>
    <w:rsid w:val="00C41EBA"/>
    <w:rsid w:val="00C43050"/>
    <w:rsid w:val="00C461A5"/>
    <w:rsid w:val="00C5039D"/>
    <w:rsid w:val="00C514F2"/>
    <w:rsid w:val="00C51E99"/>
    <w:rsid w:val="00C52496"/>
    <w:rsid w:val="00C54DDE"/>
    <w:rsid w:val="00C56DA2"/>
    <w:rsid w:val="00C645A1"/>
    <w:rsid w:val="00C647DC"/>
    <w:rsid w:val="00C654E0"/>
    <w:rsid w:val="00C67659"/>
    <w:rsid w:val="00C67A44"/>
    <w:rsid w:val="00C7111C"/>
    <w:rsid w:val="00C712B7"/>
    <w:rsid w:val="00C71955"/>
    <w:rsid w:val="00C7303F"/>
    <w:rsid w:val="00C73C57"/>
    <w:rsid w:val="00C74A1B"/>
    <w:rsid w:val="00C75B9B"/>
    <w:rsid w:val="00C75D87"/>
    <w:rsid w:val="00C81418"/>
    <w:rsid w:val="00C81D49"/>
    <w:rsid w:val="00C81E36"/>
    <w:rsid w:val="00C83812"/>
    <w:rsid w:val="00C8529C"/>
    <w:rsid w:val="00C85FB9"/>
    <w:rsid w:val="00C860E5"/>
    <w:rsid w:val="00C86C5B"/>
    <w:rsid w:val="00C8729B"/>
    <w:rsid w:val="00C87506"/>
    <w:rsid w:val="00C90DED"/>
    <w:rsid w:val="00C91FF6"/>
    <w:rsid w:val="00C922FE"/>
    <w:rsid w:val="00C93825"/>
    <w:rsid w:val="00C95D32"/>
    <w:rsid w:val="00C96CF2"/>
    <w:rsid w:val="00C97C81"/>
    <w:rsid w:val="00C97CD3"/>
    <w:rsid w:val="00CA0F96"/>
    <w:rsid w:val="00CA244C"/>
    <w:rsid w:val="00CA45D3"/>
    <w:rsid w:val="00CA466D"/>
    <w:rsid w:val="00CA78A5"/>
    <w:rsid w:val="00CB0594"/>
    <w:rsid w:val="00CB2AD5"/>
    <w:rsid w:val="00CB3142"/>
    <w:rsid w:val="00CB4CF0"/>
    <w:rsid w:val="00CB5194"/>
    <w:rsid w:val="00CB5D16"/>
    <w:rsid w:val="00CB6FD6"/>
    <w:rsid w:val="00CC0E40"/>
    <w:rsid w:val="00CC1491"/>
    <w:rsid w:val="00CC2031"/>
    <w:rsid w:val="00CC279A"/>
    <w:rsid w:val="00CC29EA"/>
    <w:rsid w:val="00CC3B51"/>
    <w:rsid w:val="00CC60BA"/>
    <w:rsid w:val="00CC6186"/>
    <w:rsid w:val="00CC6263"/>
    <w:rsid w:val="00CD05D0"/>
    <w:rsid w:val="00CD1AEE"/>
    <w:rsid w:val="00CD5F8E"/>
    <w:rsid w:val="00CE04C1"/>
    <w:rsid w:val="00CE0B75"/>
    <w:rsid w:val="00CE375A"/>
    <w:rsid w:val="00CE444C"/>
    <w:rsid w:val="00CE449C"/>
    <w:rsid w:val="00CE4F61"/>
    <w:rsid w:val="00CE5B57"/>
    <w:rsid w:val="00CE6306"/>
    <w:rsid w:val="00CE6F65"/>
    <w:rsid w:val="00CE7654"/>
    <w:rsid w:val="00CF134D"/>
    <w:rsid w:val="00CF1FE9"/>
    <w:rsid w:val="00CF2DBD"/>
    <w:rsid w:val="00CF32A7"/>
    <w:rsid w:val="00CF376C"/>
    <w:rsid w:val="00CF584A"/>
    <w:rsid w:val="00CF782F"/>
    <w:rsid w:val="00D003EB"/>
    <w:rsid w:val="00D017D9"/>
    <w:rsid w:val="00D041A3"/>
    <w:rsid w:val="00D05FB8"/>
    <w:rsid w:val="00D06098"/>
    <w:rsid w:val="00D07D3B"/>
    <w:rsid w:val="00D11D04"/>
    <w:rsid w:val="00D13D53"/>
    <w:rsid w:val="00D143B5"/>
    <w:rsid w:val="00D1574C"/>
    <w:rsid w:val="00D167BA"/>
    <w:rsid w:val="00D177B6"/>
    <w:rsid w:val="00D17EB1"/>
    <w:rsid w:val="00D221AD"/>
    <w:rsid w:val="00D27E50"/>
    <w:rsid w:val="00D3437B"/>
    <w:rsid w:val="00D3509A"/>
    <w:rsid w:val="00D35D7F"/>
    <w:rsid w:val="00D36331"/>
    <w:rsid w:val="00D364B4"/>
    <w:rsid w:val="00D36E77"/>
    <w:rsid w:val="00D3777F"/>
    <w:rsid w:val="00D37B2F"/>
    <w:rsid w:val="00D40284"/>
    <w:rsid w:val="00D43B41"/>
    <w:rsid w:val="00D44B25"/>
    <w:rsid w:val="00D44F23"/>
    <w:rsid w:val="00D46DBE"/>
    <w:rsid w:val="00D47262"/>
    <w:rsid w:val="00D50203"/>
    <w:rsid w:val="00D50445"/>
    <w:rsid w:val="00D535AF"/>
    <w:rsid w:val="00D539F7"/>
    <w:rsid w:val="00D53CFB"/>
    <w:rsid w:val="00D548F3"/>
    <w:rsid w:val="00D54E5F"/>
    <w:rsid w:val="00D56195"/>
    <w:rsid w:val="00D57E8B"/>
    <w:rsid w:val="00D608D4"/>
    <w:rsid w:val="00D60919"/>
    <w:rsid w:val="00D60C65"/>
    <w:rsid w:val="00D637D5"/>
    <w:rsid w:val="00D64B7A"/>
    <w:rsid w:val="00D65CE4"/>
    <w:rsid w:val="00D65DEB"/>
    <w:rsid w:val="00D727FB"/>
    <w:rsid w:val="00D72FF6"/>
    <w:rsid w:val="00D73972"/>
    <w:rsid w:val="00D766DD"/>
    <w:rsid w:val="00D77674"/>
    <w:rsid w:val="00D822BF"/>
    <w:rsid w:val="00D841BE"/>
    <w:rsid w:val="00D85E3C"/>
    <w:rsid w:val="00D90723"/>
    <w:rsid w:val="00D94195"/>
    <w:rsid w:val="00D94B37"/>
    <w:rsid w:val="00D95061"/>
    <w:rsid w:val="00D97F6B"/>
    <w:rsid w:val="00DA009E"/>
    <w:rsid w:val="00DA0349"/>
    <w:rsid w:val="00DA0A28"/>
    <w:rsid w:val="00DA3054"/>
    <w:rsid w:val="00DA32B8"/>
    <w:rsid w:val="00DA3DEC"/>
    <w:rsid w:val="00DA5412"/>
    <w:rsid w:val="00DA6B88"/>
    <w:rsid w:val="00DA7A98"/>
    <w:rsid w:val="00DA7E0A"/>
    <w:rsid w:val="00DB210D"/>
    <w:rsid w:val="00DB4266"/>
    <w:rsid w:val="00DB4949"/>
    <w:rsid w:val="00DB4F5B"/>
    <w:rsid w:val="00DB65C2"/>
    <w:rsid w:val="00DC0F1C"/>
    <w:rsid w:val="00DC3604"/>
    <w:rsid w:val="00DC3A6D"/>
    <w:rsid w:val="00DC4440"/>
    <w:rsid w:val="00DC55B7"/>
    <w:rsid w:val="00DD0C7C"/>
    <w:rsid w:val="00DD1910"/>
    <w:rsid w:val="00DD1F26"/>
    <w:rsid w:val="00DD5A7C"/>
    <w:rsid w:val="00DD6027"/>
    <w:rsid w:val="00DD6C23"/>
    <w:rsid w:val="00DD7F6C"/>
    <w:rsid w:val="00DE1174"/>
    <w:rsid w:val="00DE26AF"/>
    <w:rsid w:val="00DE40B2"/>
    <w:rsid w:val="00DE4DDB"/>
    <w:rsid w:val="00DE5498"/>
    <w:rsid w:val="00DE57AD"/>
    <w:rsid w:val="00DF00B6"/>
    <w:rsid w:val="00DF07E7"/>
    <w:rsid w:val="00DF100B"/>
    <w:rsid w:val="00DF142D"/>
    <w:rsid w:val="00DF3993"/>
    <w:rsid w:val="00DF3ED7"/>
    <w:rsid w:val="00DF457D"/>
    <w:rsid w:val="00DF5454"/>
    <w:rsid w:val="00DF54DB"/>
    <w:rsid w:val="00DF55E0"/>
    <w:rsid w:val="00DF694D"/>
    <w:rsid w:val="00E0073D"/>
    <w:rsid w:val="00E0129C"/>
    <w:rsid w:val="00E01C2E"/>
    <w:rsid w:val="00E01FC7"/>
    <w:rsid w:val="00E0311A"/>
    <w:rsid w:val="00E03BD2"/>
    <w:rsid w:val="00E04D42"/>
    <w:rsid w:val="00E05D4D"/>
    <w:rsid w:val="00E0722B"/>
    <w:rsid w:val="00E10705"/>
    <w:rsid w:val="00E11E16"/>
    <w:rsid w:val="00E12B51"/>
    <w:rsid w:val="00E14200"/>
    <w:rsid w:val="00E14B19"/>
    <w:rsid w:val="00E2232E"/>
    <w:rsid w:val="00E23581"/>
    <w:rsid w:val="00E251D5"/>
    <w:rsid w:val="00E25410"/>
    <w:rsid w:val="00E25EB2"/>
    <w:rsid w:val="00E262FB"/>
    <w:rsid w:val="00E30052"/>
    <w:rsid w:val="00E30FEB"/>
    <w:rsid w:val="00E31EA0"/>
    <w:rsid w:val="00E35B95"/>
    <w:rsid w:val="00E42EAC"/>
    <w:rsid w:val="00E4443F"/>
    <w:rsid w:val="00E44A62"/>
    <w:rsid w:val="00E4510B"/>
    <w:rsid w:val="00E454C1"/>
    <w:rsid w:val="00E4561B"/>
    <w:rsid w:val="00E461C2"/>
    <w:rsid w:val="00E50590"/>
    <w:rsid w:val="00E513D4"/>
    <w:rsid w:val="00E53486"/>
    <w:rsid w:val="00E5383A"/>
    <w:rsid w:val="00E55373"/>
    <w:rsid w:val="00E55A03"/>
    <w:rsid w:val="00E55BCE"/>
    <w:rsid w:val="00E57643"/>
    <w:rsid w:val="00E57A3C"/>
    <w:rsid w:val="00E604EC"/>
    <w:rsid w:val="00E60E7D"/>
    <w:rsid w:val="00E6244C"/>
    <w:rsid w:val="00E626B8"/>
    <w:rsid w:val="00E6297F"/>
    <w:rsid w:val="00E631DA"/>
    <w:rsid w:val="00E639F1"/>
    <w:rsid w:val="00E64673"/>
    <w:rsid w:val="00E65260"/>
    <w:rsid w:val="00E6631B"/>
    <w:rsid w:val="00E672E0"/>
    <w:rsid w:val="00E67D76"/>
    <w:rsid w:val="00E71C57"/>
    <w:rsid w:val="00E72386"/>
    <w:rsid w:val="00E724A3"/>
    <w:rsid w:val="00E72A3A"/>
    <w:rsid w:val="00E74434"/>
    <w:rsid w:val="00E74EBA"/>
    <w:rsid w:val="00E74F9E"/>
    <w:rsid w:val="00E753CB"/>
    <w:rsid w:val="00E763EF"/>
    <w:rsid w:val="00E802FE"/>
    <w:rsid w:val="00E80CEA"/>
    <w:rsid w:val="00E81A13"/>
    <w:rsid w:val="00E81D41"/>
    <w:rsid w:val="00E8478C"/>
    <w:rsid w:val="00E86B1D"/>
    <w:rsid w:val="00E87ACB"/>
    <w:rsid w:val="00E87B82"/>
    <w:rsid w:val="00E900F2"/>
    <w:rsid w:val="00E91315"/>
    <w:rsid w:val="00E95909"/>
    <w:rsid w:val="00E9619B"/>
    <w:rsid w:val="00E97A89"/>
    <w:rsid w:val="00EA002C"/>
    <w:rsid w:val="00EA19C7"/>
    <w:rsid w:val="00EA2970"/>
    <w:rsid w:val="00EA3AD0"/>
    <w:rsid w:val="00EA73DB"/>
    <w:rsid w:val="00EB2B61"/>
    <w:rsid w:val="00EB3134"/>
    <w:rsid w:val="00EB329A"/>
    <w:rsid w:val="00EB433D"/>
    <w:rsid w:val="00EC1A71"/>
    <w:rsid w:val="00EC6A8A"/>
    <w:rsid w:val="00EC7870"/>
    <w:rsid w:val="00ED13FC"/>
    <w:rsid w:val="00ED3E30"/>
    <w:rsid w:val="00ED4916"/>
    <w:rsid w:val="00EE047B"/>
    <w:rsid w:val="00EE3174"/>
    <w:rsid w:val="00EE3EB9"/>
    <w:rsid w:val="00EE53A5"/>
    <w:rsid w:val="00EF074A"/>
    <w:rsid w:val="00EF2138"/>
    <w:rsid w:val="00EF265C"/>
    <w:rsid w:val="00EF2D6F"/>
    <w:rsid w:val="00EF4209"/>
    <w:rsid w:val="00EF68F7"/>
    <w:rsid w:val="00F0048F"/>
    <w:rsid w:val="00F040EC"/>
    <w:rsid w:val="00F0508E"/>
    <w:rsid w:val="00F076AF"/>
    <w:rsid w:val="00F110B2"/>
    <w:rsid w:val="00F157DD"/>
    <w:rsid w:val="00F2009E"/>
    <w:rsid w:val="00F207D8"/>
    <w:rsid w:val="00F20D94"/>
    <w:rsid w:val="00F214F0"/>
    <w:rsid w:val="00F22D13"/>
    <w:rsid w:val="00F254FA"/>
    <w:rsid w:val="00F25B1A"/>
    <w:rsid w:val="00F262FD"/>
    <w:rsid w:val="00F26E1E"/>
    <w:rsid w:val="00F279E1"/>
    <w:rsid w:val="00F315BE"/>
    <w:rsid w:val="00F32517"/>
    <w:rsid w:val="00F32848"/>
    <w:rsid w:val="00F34945"/>
    <w:rsid w:val="00F36416"/>
    <w:rsid w:val="00F410E6"/>
    <w:rsid w:val="00F434F8"/>
    <w:rsid w:val="00F44BCE"/>
    <w:rsid w:val="00F45AB5"/>
    <w:rsid w:val="00F5036C"/>
    <w:rsid w:val="00F50517"/>
    <w:rsid w:val="00F50ECC"/>
    <w:rsid w:val="00F511E1"/>
    <w:rsid w:val="00F514DE"/>
    <w:rsid w:val="00F54564"/>
    <w:rsid w:val="00F55A07"/>
    <w:rsid w:val="00F615EF"/>
    <w:rsid w:val="00F62DA0"/>
    <w:rsid w:val="00F64320"/>
    <w:rsid w:val="00F649F6"/>
    <w:rsid w:val="00F662ED"/>
    <w:rsid w:val="00F666F9"/>
    <w:rsid w:val="00F735AA"/>
    <w:rsid w:val="00F73BA1"/>
    <w:rsid w:val="00F74591"/>
    <w:rsid w:val="00F75783"/>
    <w:rsid w:val="00F77776"/>
    <w:rsid w:val="00F80CF1"/>
    <w:rsid w:val="00F812A1"/>
    <w:rsid w:val="00F81440"/>
    <w:rsid w:val="00F815BD"/>
    <w:rsid w:val="00F81BB3"/>
    <w:rsid w:val="00F8303F"/>
    <w:rsid w:val="00F85E04"/>
    <w:rsid w:val="00F86153"/>
    <w:rsid w:val="00F91F6F"/>
    <w:rsid w:val="00F932EC"/>
    <w:rsid w:val="00F94B3B"/>
    <w:rsid w:val="00F950B4"/>
    <w:rsid w:val="00F9518E"/>
    <w:rsid w:val="00F953BA"/>
    <w:rsid w:val="00F95C33"/>
    <w:rsid w:val="00FA072D"/>
    <w:rsid w:val="00FA2B10"/>
    <w:rsid w:val="00FA3AB1"/>
    <w:rsid w:val="00FA4AB8"/>
    <w:rsid w:val="00FA4B24"/>
    <w:rsid w:val="00FA65C8"/>
    <w:rsid w:val="00FA729F"/>
    <w:rsid w:val="00FA736E"/>
    <w:rsid w:val="00FA7997"/>
    <w:rsid w:val="00FA7B93"/>
    <w:rsid w:val="00FB0020"/>
    <w:rsid w:val="00FB1E33"/>
    <w:rsid w:val="00FB2D1B"/>
    <w:rsid w:val="00FB3196"/>
    <w:rsid w:val="00FB3600"/>
    <w:rsid w:val="00FB36F9"/>
    <w:rsid w:val="00FB3CBA"/>
    <w:rsid w:val="00FB4944"/>
    <w:rsid w:val="00FB6807"/>
    <w:rsid w:val="00FB7A39"/>
    <w:rsid w:val="00FB7F5C"/>
    <w:rsid w:val="00FC1B15"/>
    <w:rsid w:val="00FC3820"/>
    <w:rsid w:val="00FC4DF9"/>
    <w:rsid w:val="00FC54E4"/>
    <w:rsid w:val="00FC7908"/>
    <w:rsid w:val="00FD2BCE"/>
    <w:rsid w:val="00FD579C"/>
    <w:rsid w:val="00FD62A1"/>
    <w:rsid w:val="00FD6DC4"/>
    <w:rsid w:val="00FD6FFF"/>
    <w:rsid w:val="00FD7677"/>
    <w:rsid w:val="00FD7B0C"/>
    <w:rsid w:val="00FE05F4"/>
    <w:rsid w:val="00FE0FB6"/>
    <w:rsid w:val="00FE3D95"/>
    <w:rsid w:val="00FE3DAE"/>
    <w:rsid w:val="00FE400F"/>
    <w:rsid w:val="00FE579F"/>
    <w:rsid w:val="00FE6C2B"/>
    <w:rsid w:val="00FE70C2"/>
    <w:rsid w:val="00FF0A3A"/>
    <w:rsid w:val="00FF0A61"/>
    <w:rsid w:val="00FF1CF5"/>
    <w:rsid w:val="00FF274E"/>
    <w:rsid w:val="00FF2FC5"/>
    <w:rsid w:val="00FF48F6"/>
    <w:rsid w:val="00FF49B1"/>
    <w:rsid w:val="00FF4AFC"/>
    <w:rsid w:val="00FF4ED8"/>
    <w:rsid w:val="00FF644D"/>
    <w:rsid w:val="00FF667C"/>
    <w:rsid w:val="00FF75A7"/>
    <w:rsid w:val="011C1A2B"/>
    <w:rsid w:val="01407D66"/>
    <w:rsid w:val="0243E243"/>
    <w:rsid w:val="02686118"/>
    <w:rsid w:val="028B9E2D"/>
    <w:rsid w:val="02A76C72"/>
    <w:rsid w:val="02FD3CDB"/>
    <w:rsid w:val="031DFC99"/>
    <w:rsid w:val="037D80F4"/>
    <w:rsid w:val="04043179"/>
    <w:rsid w:val="044AC6DD"/>
    <w:rsid w:val="04906350"/>
    <w:rsid w:val="057B8305"/>
    <w:rsid w:val="057CF2ED"/>
    <w:rsid w:val="0683F64F"/>
    <w:rsid w:val="06A81E0C"/>
    <w:rsid w:val="070A404E"/>
    <w:rsid w:val="073992BF"/>
    <w:rsid w:val="0756A35F"/>
    <w:rsid w:val="075C7E5A"/>
    <w:rsid w:val="07A56893"/>
    <w:rsid w:val="088A9648"/>
    <w:rsid w:val="09C039D6"/>
    <w:rsid w:val="09EDF674"/>
    <w:rsid w:val="0A6E3B91"/>
    <w:rsid w:val="0B2E332E"/>
    <w:rsid w:val="0B31951F"/>
    <w:rsid w:val="0B5A4E0C"/>
    <w:rsid w:val="0C248FEB"/>
    <w:rsid w:val="0C6D42B2"/>
    <w:rsid w:val="0CDEC117"/>
    <w:rsid w:val="0CED3A02"/>
    <w:rsid w:val="0F14EFB5"/>
    <w:rsid w:val="1156BC9D"/>
    <w:rsid w:val="1244DCF1"/>
    <w:rsid w:val="12995606"/>
    <w:rsid w:val="147B4C46"/>
    <w:rsid w:val="154EEC1E"/>
    <w:rsid w:val="1569DB38"/>
    <w:rsid w:val="1675DB4D"/>
    <w:rsid w:val="16A720BA"/>
    <w:rsid w:val="18A7C577"/>
    <w:rsid w:val="190D545D"/>
    <w:rsid w:val="1C373E93"/>
    <w:rsid w:val="1CC200DC"/>
    <w:rsid w:val="1EAADDC2"/>
    <w:rsid w:val="1F9BABFE"/>
    <w:rsid w:val="1FED30D1"/>
    <w:rsid w:val="2007A2F4"/>
    <w:rsid w:val="208922AC"/>
    <w:rsid w:val="21CE5002"/>
    <w:rsid w:val="22B76756"/>
    <w:rsid w:val="234A5758"/>
    <w:rsid w:val="235DDCD7"/>
    <w:rsid w:val="23A90C11"/>
    <w:rsid w:val="23B7B999"/>
    <w:rsid w:val="2450611D"/>
    <w:rsid w:val="245337B7"/>
    <w:rsid w:val="25BB0E97"/>
    <w:rsid w:val="271E594D"/>
    <w:rsid w:val="27A4D5DA"/>
    <w:rsid w:val="27CAE714"/>
    <w:rsid w:val="2926A8DA"/>
    <w:rsid w:val="2951EB52"/>
    <w:rsid w:val="2ABE7D72"/>
    <w:rsid w:val="2B8FBAD1"/>
    <w:rsid w:val="2CB4AD7E"/>
    <w:rsid w:val="2CE72169"/>
    <w:rsid w:val="2F4465BA"/>
    <w:rsid w:val="2FD5F8F9"/>
    <w:rsid w:val="2FEA3527"/>
    <w:rsid w:val="3158A0FD"/>
    <w:rsid w:val="32B7F178"/>
    <w:rsid w:val="334A6C0C"/>
    <w:rsid w:val="33645DB7"/>
    <w:rsid w:val="33779C5F"/>
    <w:rsid w:val="339819CF"/>
    <w:rsid w:val="349C1A64"/>
    <w:rsid w:val="3533EA30"/>
    <w:rsid w:val="361E98FD"/>
    <w:rsid w:val="36DFC678"/>
    <w:rsid w:val="372C371A"/>
    <w:rsid w:val="37F9AAD2"/>
    <w:rsid w:val="38049A82"/>
    <w:rsid w:val="38509C78"/>
    <w:rsid w:val="395CBD34"/>
    <w:rsid w:val="39B582EF"/>
    <w:rsid w:val="3A736BC6"/>
    <w:rsid w:val="3C534E9E"/>
    <w:rsid w:val="3CD2701B"/>
    <w:rsid w:val="3CD52CBC"/>
    <w:rsid w:val="3E72972C"/>
    <w:rsid w:val="3E7AEC04"/>
    <w:rsid w:val="4064D9C6"/>
    <w:rsid w:val="40E1F4F7"/>
    <w:rsid w:val="41AEFB04"/>
    <w:rsid w:val="41C2E1CA"/>
    <w:rsid w:val="426287BA"/>
    <w:rsid w:val="435A67ED"/>
    <w:rsid w:val="43BE4980"/>
    <w:rsid w:val="440CA510"/>
    <w:rsid w:val="44AD8392"/>
    <w:rsid w:val="44B068D2"/>
    <w:rsid w:val="4593DB9D"/>
    <w:rsid w:val="45F79582"/>
    <w:rsid w:val="46433D00"/>
    <w:rsid w:val="47D13455"/>
    <w:rsid w:val="48B7F8B9"/>
    <w:rsid w:val="48F81321"/>
    <w:rsid w:val="490F0BFD"/>
    <w:rsid w:val="4A3A91A5"/>
    <w:rsid w:val="4AAA6BF0"/>
    <w:rsid w:val="4B4AB07E"/>
    <w:rsid w:val="4C096A00"/>
    <w:rsid w:val="4D725389"/>
    <w:rsid w:val="4DAD0C7A"/>
    <w:rsid w:val="4E1CEBFE"/>
    <w:rsid w:val="4E3E9867"/>
    <w:rsid w:val="4E4B624F"/>
    <w:rsid w:val="4E91C2FA"/>
    <w:rsid w:val="51CC2F95"/>
    <w:rsid w:val="51D09E16"/>
    <w:rsid w:val="51D38D02"/>
    <w:rsid w:val="521C7558"/>
    <w:rsid w:val="547DAE31"/>
    <w:rsid w:val="55D1F3C7"/>
    <w:rsid w:val="55DD2E0E"/>
    <w:rsid w:val="560393AB"/>
    <w:rsid w:val="568E91E2"/>
    <w:rsid w:val="576A2B4E"/>
    <w:rsid w:val="5797B6BF"/>
    <w:rsid w:val="58833A06"/>
    <w:rsid w:val="58CDCE18"/>
    <w:rsid w:val="5914FB93"/>
    <w:rsid w:val="5BF5BADD"/>
    <w:rsid w:val="5C3DD097"/>
    <w:rsid w:val="5C8A1B78"/>
    <w:rsid w:val="5D7E4185"/>
    <w:rsid w:val="5F663748"/>
    <w:rsid w:val="6031C922"/>
    <w:rsid w:val="630DC6E7"/>
    <w:rsid w:val="6407FDAB"/>
    <w:rsid w:val="64C22CB5"/>
    <w:rsid w:val="65340F51"/>
    <w:rsid w:val="65BD84E7"/>
    <w:rsid w:val="65C5C904"/>
    <w:rsid w:val="67C293E1"/>
    <w:rsid w:val="67CFB55A"/>
    <w:rsid w:val="6929A84C"/>
    <w:rsid w:val="69781A3C"/>
    <w:rsid w:val="69AFB7D0"/>
    <w:rsid w:val="69EC05B6"/>
    <w:rsid w:val="6AD5DB53"/>
    <w:rsid w:val="6B2213A0"/>
    <w:rsid w:val="6CADF7E6"/>
    <w:rsid w:val="6E6C8920"/>
    <w:rsid w:val="6EAD1463"/>
    <w:rsid w:val="6EEE3030"/>
    <w:rsid w:val="6EF0BB42"/>
    <w:rsid w:val="6FD39791"/>
    <w:rsid w:val="7178C43F"/>
    <w:rsid w:val="7376FC26"/>
    <w:rsid w:val="75BD5051"/>
    <w:rsid w:val="770434E1"/>
    <w:rsid w:val="7738775D"/>
    <w:rsid w:val="78CB3429"/>
    <w:rsid w:val="7B595B8E"/>
    <w:rsid w:val="7D5CFC74"/>
    <w:rsid w:val="7D6B2FCB"/>
    <w:rsid w:val="7DEA0BA8"/>
    <w:rsid w:val="7F20F1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D538"/>
  <w15:chartTrackingRefBased/>
  <w15:docId w15:val="{A44D8972-48C9-43D7-B761-D16B9962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paragraph" w:styleId="Heading2">
    <w:name w:val="heading 2"/>
    <w:basedOn w:val="Normal"/>
    <w:next w:val="Normal"/>
    <w:link w:val="Heading2Char"/>
    <w:qFormat/>
    <w:rsid w:val="00F5456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semiHidden/>
    <w:unhideWhenUsed/>
    <w:rsid w:val="003525C5"/>
    <w:rPr>
      <w:sz w:val="20"/>
    </w:rPr>
  </w:style>
  <w:style w:type="character" w:customStyle="1" w:styleId="CommentTextChar">
    <w:name w:val="Comment Text Char"/>
    <w:basedOn w:val="DefaultParagraphFont"/>
    <w:link w:val="CommentText"/>
    <w:uiPriority w:val="99"/>
    <w:semiHidden/>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 w:type="character" w:customStyle="1" w:styleId="Heading2Char">
    <w:name w:val="Heading 2 Char"/>
    <w:basedOn w:val="DefaultParagraphFont"/>
    <w:link w:val="Heading2"/>
    <w:rsid w:val="00F54564"/>
    <w:rPr>
      <w:rFonts w:ascii="Times New Roman" w:eastAsia="Times New Roman" w:hAnsi="Times New Roman" w:cs="Times New Roman"/>
      <w:szCs w:val="20"/>
      <w:u w:val="single"/>
      <w:lang w:eastAsia="en-GB"/>
    </w:rPr>
  </w:style>
  <w:style w:type="table" w:customStyle="1" w:styleId="TableGrid1">
    <w:name w:val="Table Grid1"/>
    <w:basedOn w:val="TableNormal"/>
    <w:next w:val="TableGrid"/>
    <w:uiPriority w:val="59"/>
    <w:rsid w:val="00F545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77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07720"/>
    <w:pPr>
      <w:numPr>
        <w:numId w:val="12"/>
      </w:numPr>
      <w:spacing w:after="120"/>
    </w:pPr>
    <w:rPr>
      <w:rFonts w:ascii="Arial" w:eastAsiaTheme="minorHAnsi" w:hAnsi="Arial" w:cs="Arial"/>
      <w:sz w:val="23"/>
      <w:szCs w:val="23"/>
      <w:lang w:eastAsia="en-US"/>
    </w:rPr>
  </w:style>
  <w:style w:type="paragraph" w:customStyle="1" w:styleId="Default">
    <w:name w:val="Default"/>
    <w:basedOn w:val="Normal"/>
    <w:rsid w:val="00B07720"/>
    <w:pPr>
      <w:autoSpaceDE w:val="0"/>
      <w:autoSpaceDN w:val="0"/>
    </w:pPr>
    <w:rPr>
      <w:rFonts w:ascii="Arial" w:eastAsiaTheme="minorHAnsi" w:hAnsi="Arial" w:cs="Arial"/>
      <w:color w:val="000000"/>
      <w:szCs w:val="24"/>
    </w:rPr>
  </w:style>
  <w:style w:type="paragraph" w:styleId="Revision">
    <w:name w:val="Revision"/>
    <w:hidden/>
    <w:uiPriority w:val="99"/>
    <w:semiHidden/>
    <w:rsid w:val="00AE68FA"/>
    <w:rPr>
      <w:rFonts w:ascii="Times New Roman" w:eastAsia="Times New Roman" w:hAnsi="Times New Roman" w:cs="Times New Roman"/>
      <w:szCs w:val="20"/>
      <w:lang w:eastAsia="en-GB"/>
    </w:rPr>
  </w:style>
  <w:style w:type="character" w:styleId="Hyperlink">
    <w:name w:val="Hyperlink"/>
    <w:rsid w:val="00BF44F7"/>
    <w:rPr>
      <w:color w:val="0000FF"/>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348609983">
      <w:bodyDiv w:val="1"/>
      <w:marLeft w:val="0"/>
      <w:marRight w:val="0"/>
      <w:marTop w:val="0"/>
      <w:marBottom w:val="0"/>
      <w:divBdr>
        <w:top w:val="none" w:sz="0" w:space="0" w:color="auto"/>
        <w:left w:val="none" w:sz="0" w:space="0" w:color="auto"/>
        <w:bottom w:val="none" w:sz="0" w:space="0" w:color="auto"/>
        <w:right w:val="none" w:sz="0" w:space="0" w:color="auto"/>
      </w:divBdr>
    </w:div>
    <w:div w:id="395054167">
      <w:bodyDiv w:val="1"/>
      <w:marLeft w:val="0"/>
      <w:marRight w:val="0"/>
      <w:marTop w:val="0"/>
      <w:marBottom w:val="0"/>
      <w:divBdr>
        <w:top w:val="none" w:sz="0" w:space="0" w:color="auto"/>
        <w:left w:val="none" w:sz="0" w:space="0" w:color="auto"/>
        <w:bottom w:val="none" w:sz="0" w:space="0" w:color="auto"/>
        <w:right w:val="none" w:sz="0" w:space="0" w:color="auto"/>
      </w:divBdr>
    </w:div>
    <w:div w:id="447049894">
      <w:bodyDiv w:val="1"/>
      <w:marLeft w:val="0"/>
      <w:marRight w:val="0"/>
      <w:marTop w:val="0"/>
      <w:marBottom w:val="0"/>
      <w:divBdr>
        <w:top w:val="none" w:sz="0" w:space="0" w:color="auto"/>
        <w:left w:val="none" w:sz="0" w:space="0" w:color="auto"/>
        <w:bottom w:val="none" w:sz="0" w:space="0" w:color="auto"/>
        <w:right w:val="none" w:sz="0" w:space="0" w:color="auto"/>
      </w:divBdr>
    </w:div>
    <w:div w:id="634407448">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964968567">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 w:id="1889146375">
      <w:bodyDiv w:val="1"/>
      <w:marLeft w:val="0"/>
      <w:marRight w:val="0"/>
      <w:marTop w:val="0"/>
      <w:marBottom w:val="0"/>
      <w:divBdr>
        <w:top w:val="none" w:sz="0" w:space="0" w:color="auto"/>
        <w:left w:val="none" w:sz="0" w:space="0" w:color="auto"/>
        <w:bottom w:val="none" w:sz="0" w:space="0" w:color="auto"/>
        <w:right w:val="none" w:sz="0" w:space="0" w:color="auto"/>
      </w:divBdr>
    </w:div>
    <w:div w:id="1896962313">
      <w:bodyDiv w:val="1"/>
      <w:marLeft w:val="0"/>
      <w:marRight w:val="0"/>
      <w:marTop w:val="0"/>
      <w:marBottom w:val="0"/>
      <w:divBdr>
        <w:top w:val="none" w:sz="0" w:space="0" w:color="auto"/>
        <w:left w:val="none" w:sz="0" w:space="0" w:color="auto"/>
        <w:bottom w:val="none" w:sz="0" w:space="0" w:color="auto"/>
        <w:right w:val="none" w:sz="0" w:space="0" w:color="auto"/>
      </w:divBdr>
    </w:div>
    <w:div w:id="21238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nder-pay-gap.servic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gender-pay-gap-reporting-what-employers-must-publis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461FB91-58E2-4714-B26A-77D0610038B0}">
    <t:Anchor>
      <t:Comment id="679788071"/>
    </t:Anchor>
    <t:History>
      <t:Event id="{C68DB050-E5BC-4FD4-A783-8860B8DAE17B}" time="2023-08-14T14:18:12.005Z">
        <t:Attribution userId="S::morven@highlifehighland.com::4f327ead-872d-44dd-8eb0-dead986a5a4d" userProvider="AD" userName="Morven MacLeod (HLH Corporate Services)"/>
        <t:Anchor>
          <t:Comment id="1330224089"/>
        </t:Anchor>
        <t:Create/>
      </t:Event>
      <t:Event id="{2C7B002A-A6E8-4C42-8923-B3FB1016B2C2}" time="2023-08-14T14:18:12.005Z">
        <t:Attribution userId="S::morven@highlifehighland.com::4f327ead-872d-44dd-8eb0-dead986a5a4d" userProvider="AD" userName="Morven MacLeod (HLH Corporate Services)"/>
        <t:Anchor>
          <t:Comment id="1330224089"/>
        </t:Anchor>
        <t:Assign userId="S::dwilby@Highlifehighland.com::7a592891-991f-4944-b2ac-b86f43982043" userProvider="AD" userName="Douglas Wilby (HLH Director of Sport &amp; Leisure)"/>
      </t:Event>
      <t:Event id="{08C7F990-E101-4166-9F07-EA6FC4F0439B}" time="2023-08-14T14:18:12.005Z">
        <t:Attribution userId="S::morven@highlifehighland.com::4f327ead-872d-44dd-8eb0-dead986a5a4d" userProvider="AD" userName="Morven MacLeod (HLH Corporate Services)"/>
        <t:Anchor>
          <t:Comment id="1330224089"/>
        </t:Anchor>
        <t:SetTitle title="@Douglas Wilby (HLH Director of Sport &amp; Leisure) please see 4.11 - does that cover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4" ma:contentTypeDescription="Create a new document." ma:contentTypeScope="" ma:versionID="c30028a5bd787090a5009c93416c761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c455b3bb99be73d9fd4fb62c6d1c4955"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SharedWithUsers xmlns="8ad5fbb2-2192-4c06-97aa-b19be9df9d85">
      <UserInfo>
        <DisplayName>Morven MacLeod (HLH Corporate Services)</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7045-5DC0-4FD5-BD22-FD491545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A3700-574D-456D-BB4E-E9B778F4FB36}">
  <ds:schemaRefs>
    <ds:schemaRef ds:uri="http://schemas.microsoft.com/sharepoint/v3/contenttype/forms"/>
  </ds:schemaRefs>
</ds:datastoreItem>
</file>

<file path=customXml/itemProps3.xml><?xml version="1.0" encoding="utf-8"?>
<ds:datastoreItem xmlns:ds="http://schemas.openxmlformats.org/officeDocument/2006/customXml" ds:itemID="{049576E1-20BF-47C4-8353-43041F373149}">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4.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Jackie MacKenzie (HLH Corporate Services)</cp:lastModifiedBy>
  <cp:revision>735</cp:revision>
  <dcterms:created xsi:type="dcterms:W3CDTF">2023-08-08T03:24:00Z</dcterms:created>
  <dcterms:modified xsi:type="dcterms:W3CDTF">2023-11-28T13:49:00Z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0x01010075AB708E42E7E345B8456CCFC18D9783</vt:lpwstr>
  </property>
  <property fmtid="{D5CDD505-2E9C-101B-9397-08002B2CF9AE}" pid="3" name="MediaServiceImageTags">
    <vt:lpwstr/>
  </property>
</Properties>
</file>