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A0B" w14:textId="58D75BBE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8B5FA4">
        <w:rPr>
          <w:rFonts w:ascii="Arial" w:hAnsi="Arial" w:cs="Arial"/>
          <w:sz w:val="24"/>
          <w:szCs w:val="24"/>
        </w:rPr>
        <w:t>5</w:t>
      </w:r>
      <w:r w:rsidR="003D7C22">
        <w:rPr>
          <w:rFonts w:ascii="Arial" w:hAnsi="Arial" w:cs="Arial"/>
          <w:sz w:val="24"/>
          <w:szCs w:val="24"/>
        </w:rPr>
        <w:t xml:space="preserve">  </w:t>
      </w:r>
    </w:p>
    <w:p w14:paraId="768B5FEA" w14:textId="6F299314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r w:rsidR="00003A91">
        <w:rPr>
          <w:rFonts w:ascii="Arial" w:hAnsi="Arial" w:cs="Arial"/>
          <w:sz w:val="24"/>
          <w:szCs w:val="24"/>
        </w:rPr>
        <w:t>f</w:t>
      </w:r>
      <w:r w:rsidR="00DA1139" w:rsidRPr="001F28B2">
        <w:rPr>
          <w:rFonts w:ascii="Arial" w:hAnsi="Arial" w:cs="Arial"/>
          <w:sz w:val="24"/>
          <w:szCs w:val="24"/>
        </w:rPr>
        <w:t>rom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611A76">
        <w:rPr>
          <w:rFonts w:ascii="Arial" w:hAnsi="Arial" w:cs="Arial"/>
          <w:sz w:val="24"/>
          <w:szCs w:val="24"/>
        </w:rPr>
        <w:t>31 August</w:t>
      </w:r>
      <w:r w:rsidR="00AA718A">
        <w:rPr>
          <w:rFonts w:ascii="Arial" w:hAnsi="Arial" w:cs="Arial"/>
          <w:sz w:val="24"/>
          <w:szCs w:val="24"/>
        </w:rPr>
        <w:t xml:space="preserve"> 2023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977"/>
        <w:gridCol w:w="5941"/>
        <w:gridCol w:w="1345"/>
        <w:gridCol w:w="1324"/>
      </w:tblGrid>
      <w:tr w:rsidR="004E0C83" w:rsidRPr="001F28B2" w14:paraId="3D30BFCF" w14:textId="77777777" w:rsidTr="002A3373">
        <w:trPr>
          <w:trHeight w:val="410"/>
        </w:trPr>
        <w:tc>
          <w:tcPr>
            <w:tcW w:w="977" w:type="dxa"/>
          </w:tcPr>
          <w:p w14:paraId="5BEB88E5" w14:textId="646CA524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941" w:type="dxa"/>
          </w:tcPr>
          <w:p w14:paraId="75EFA0D0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5" w:type="dxa"/>
          </w:tcPr>
          <w:p w14:paraId="04F953C9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324" w:type="dxa"/>
          </w:tcPr>
          <w:p w14:paraId="6C10022F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F265BA" w:rsidRPr="00FD79CE" w14:paraId="25B727C8" w14:textId="77777777" w:rsidTr="00F265BA">
        <w:trPr>
          <w:trHeight w:val="449"/>
        </w:trPr>
        <w:tc>
          <w:tcPr>
            <w:tcW w:w="977" w:type="dxa"/>
            <w:shd w:val="clear" w:color="auto" w:fill="auto"/>
          </w:tcPr>
          <w:p w14:paraId="6BFCCC05" w14:textId="77777777" w:rsidR="00F265BA" w:rsidRDefault="00233E75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29BFB828" w14:textId="5AB08594" w:rsidR="00AB6B7B" w:rsidRPr="00F87472" w:rsidRDefault="00AB6B7B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</w:tc>
        <w:tc>
          <w:tcPr>
            <w:tcW w:w="5941" w:type="dxa"/>
            <w:shd w:val="clear" w:color="auto" w:fill="auto"/>
          </w:tcPr>
          <w:p w14:paraId="10253E5C" w14:textId="77777777" w:rsidR="008850FD" w:rsidRDefault="00233E75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Draft Annual Report and Accounts</w:t>
            </w:r>
          </w:p>
          <w:p w14:paraId="4ACBCF23" w14:textId="77777777" w:rsidR="00233E75" w:rsidRDefault="00AB6B7B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Audit Committee to take forward a review of the issuing of manual pay cheques.</w:t>
            </w:r>
          </w:p>
          <w:p w14:paraId="3B088DC1" w14:textId="7A5790B4" w:rsidR="00AB6B7B" w:rsidRPr="00AB6B7B" w:rsidRDefault="00884791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Included on the</w:t>
            </w:r>
            <w:r w:rsidR="0087396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F8575A">
              <w:rPr>
                <w:rFonts w:ascii="Arial" w:hAnsi="Arial" w:cs="Arial"/>
                <w:i/>
                <w:iCs/>
                <w:sz w:val="24"/>
                <w:szCs w:val="24"/>
              </w:rPr>
              <w:t>November Finance and Audit Committee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agenda with a progress report agreed to the February 2024 meeting.</w:t>
            </w:r>
          </w:p>
        </w:tc>
        <w:tc>
          <w:tcPr>
            <w:tcW w:w="1345" w:type="dxa"/>
            <w:shd w:val="clear" w:color="auto" w:fill="auto"/>
          </w:tcPr>
          <w:p w14:paraId="7D29AD4C" w14:textId="77777777" w:rsidR="008850FD" w:rsidRDefault="008850FD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A7988" w14:textId="77777777" w:rsidR="00F8575A" w:rsidRDefault="00F8575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78E4B" w14:textId="77777777" w:rsidR="00F8575A" w:rsidRDefault="00F8575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2F9EE" w14:textId="07EDDD47" w:rsidR="00F8575A" w:rsidRPr="00AB3C3F" w:rsidRDefault="00F8575A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324" w:type="dxa"/>
            <w:shd w:val="clear" w:color="auto" w:fill="auto"/>
          </w:tcPr>
          <w:p w14:paraId="08171257" w14:textId="77777777" w:rsidR="008850FD" w:rsidRDefault="008850FD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FCB9D" w14:textId="77777777" w:rsidR="00F8575A" w:rsidRDefault="00F8575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83828" w14:textId="77777777" w:rsidR="00F8575A" w:rsidRPr="004F172F" w:rsidRDefault="00F8575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B10FB" w14:textId="649D52C6" w:rsidR="00F8575A" w:rsidRPr="00AB3C3F" w:rsidRDefault="009C7AD8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F265BA" w:rsidRPr="00FD79CE" w14:paraId="3E3D7537" w14:textId="77777777" w:rsidTr="004A222B">
        <w:trPr>
          <w:trHeight w:val="2106"/>
        </w:trPr>
        <w:tc>
          <w:tcPr>
            <w:tcW w:w="977" w:type="dxa"/>
            <w:shd w:val="clear" w:color="auto" w:fill="auto"/>
          </w:tcPr>
          <w:p w14:paraId="216F724C" w14:textId="77777777" w:rsidR="008A0BFA" w:rsidRDefault="006A750B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15AF8311" w14:textId="77777777" w:rsidR="005527BC" w:rsidRDefault="006C3407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ix.</w:t>
            </w:r>
          </w:p>
          <w:p w14:paraId="0D68B57F" w14:textId="77777777" w:rsidR="00563269" w:rsidRDefault="00563269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F785E" w14:textId="77777777" w:rsidR="00563269" w:rsidRDefault="00563269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9B7AA" w14:textId="77777777" w:rsidR="00CA7F19" w:rsidRDefault="00CA7F19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56B4D" w14:textId="64C4B3D8" w:rsidR="00563269" w:rsidRDefault="00563269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</w:t>
            </w:r>
          </w:p>
        </w:tc>
        <w:tc>
          <w:tcPr>
            <w:tcW w:w="5941" w:type="dxa"/>
            <w:shd w:val="clear" w:color="auto" w:fill="auto"/>
          </w:tcPr>
          <w:p w14:paraId="7B4D110A" w14:textId="77777777" w:rsidR="00E673FA" w:rsidRDefault="006A750B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Report</w:t>
            </w:r>
          </w:p>
          <w:p w14:paraId="035E7AEF" w14:textId="77777777" w:rsidR="006C3407" w:rsidRDefault="006C3407" w:rsidP="006C340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consistency in service naming conventions</w:t>
            </w:r>
            <w:r w:rsidR="00563269">
              <w:rPr>
                <w:rFonts w:ascii="Arial" w:hAnsi="Arial" w:cs="Arial"/>
                <w:sz w:val="24"/>
                <w:szCs w:val="24"/>
              </w:rPr>
              <w:t xml:space="preserve"> in the report.</w:t>
            </w:r>
          </w:p>
          <w:p w14:paraId="17CBE493" w14:textId="11895029" w:rsidR="00563269" w:rsidRPr="00A37DA3" w:rsidRDefault="0051150D" w:rsidP="006C340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Naming conventions updated</w:t>
            </w:r>
            <w:r w:rsidR="00E538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 both </w:t>
            </w:r>
            <w:r w:rsidR="00CA7F19">
              <w:rPr>
                <w:rFonts w:ascii="Arial" w:hAnsi="Arial" w:cs="Arial"/>
                <w:i/>
                <w:iCs/>
                <w:sz w:val="24"/>
                <w:szCs w:val="24"/>
              </w:rPr>
              <w:t>Finance Report and Key Business Objectives document.</w:t>
            </w:r>
          </w:p>
          <w:p w14:paraId="6F20369A" w14:textId="77777777" w:rsidR="00563269" w:rsidRDefault="00563269" w:rsidP="006C340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269">
              <w:rPr>
                <w:rFonts w:ascii="Arial" w:hAnsi="Arial" w:cs="Arial"/>
                <w:sz w:val="24"/>
                <w:szCs w:val="24"/>
              </w:rPr>
              <w:t>Consider policies around the use of cc and bcc in e-mail to reduce data breaches.</w:t>
            </w:r>
          </w:p>
          <w:p w14:paraId="74319ABF" w14:textId="59B4C596" w:rsidR="00285480" w:rsidRDefault="00EA7C95" w:rsidP="005B22C3">
            <w:pPr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Existing </w:t>
            </w:r>
            <w:r w:rsidR="00285480" w:rsidRPr="0028548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Data Protection Staff Guidanc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e, </w:t>
            </w:r>
            <w:r w:rsidR="001666E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which includes guidance on the use of cc and bcc</w:t>
            </w:r>
            <w:r w:rsidR="00285480" w:rsidRPr="0028548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has been refreshed and issued to staff. Due to its importance, all staff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will be</w:t>
            </w:r>
            <w:r w:rsidR="00285480" w:rsidRPr="0028548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reminded to read new releases of the Data Protection guidance every time the</w:t>
            </w:r>
            <w:r w:rsidR="00D00FA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y</w:t>
            </w:r>
            <w:r w:rsidR="00285480" w:rsidRPr="0028548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log onto the staff website - until such time as the system </w:t>
            </w:r>
            <w:proofErr w:type="gramStart"/>
            <w:r w:rsidR="00285480" w:rsidRPr="0028548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records</w:t>
            </w:r>
            <w:proofErr w:type="gramEnd"/>
            <w:r w:rsidR="00285480" w:rsidRPr="0028548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they have done so (this is held as a date/time stamp for all staff).</w:t>
            </w:r>
          </w:p>
          <w:p w14:paraId="598345A3" w14:textId="48481D31" w:rsidR="00DD6943" w:rsidRPr="00285480" w:rsidRDefault="00DD6943" w:rsidP="005B22C3">
            <w:pPr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No immediate technical solution is possible</w:t>
            </w:r>
            <w:r w:rsidR="008374B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at this time, however </w:t>
            </w:r>
            <w:r w:rsidR="00AC3D5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there will be some future improvements with </w:t>
            </w:r>
            <w:r w:rsidR="00DC44C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r w:rsidR="008374B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new leisure management system </w:t>
            </w:r>
            <w:r w:rsidR="00120C4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send</w:t>
            </w:r>
            <w:r w:rsidR="00DC44C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ing</w:t>
            </w:r>
            <w:r w:rsidR="00120C4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emails direct</w:t>
            </w:r>
            <w:r w:rsidR="00DC44C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to </w:t>
            </w:r>
            <w:r w:rsidR="00083A51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customers </w:t>
            </w:r>
            <w:r w:rsidR="00DC44C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(not via Outlook)</w:t>
            </w:r>
            <w:r w:rsidR="009C0AF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  This will</w:t>
            </w:r>
            <w:r w:rsidR="00DC44C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r w:rsidR="00120C4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effectively always use the bcc field</w:t>
            </w:r>
            <w:r w:rsidR="00AC3D5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when sending to more than one customer.</w:t>
            </w:r>
          </w:p>
          <w:p w14:paraId="40224F40" w14:textId="53C2D351" w:rsidR="00563269" w:rsidRPr="00563269" w:rsidRDefault="00563269" w:rsidP="006C340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53AED8EC" w14:textId="65F389D7" w:rsidR="00E673FA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93733" w14:textId="77777777" w:rsidR="00563269" w:rsidRDefault="00563269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59008" w14:textId="77777777" w:rsidR="00563269" w:rsidRDefault="00563269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DF3A4" w14:textId="2FB526BC" w:rsidR="00563269" w:rsidRDefault="00563269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  <w:p w14:paraId="204AE10E" w14:textId="77777777" w:rsidR="004A222B" w:rsidRDefault="004A222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05ED4" w14:textId="77777777" w:rsidR="004A222B" w:rsidRDefault="004A222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3D276" w14:textId="77777777" w:rsidR="004F172F" w:rsidRDefault="004F172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5DE7A" w14:textId="5AD5B786" w:rsidR="004A222B" w:rsidRDefault="004A222B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</w:t>
            </w:r>
          </w:p>
          <w:p w14:paraId="0FE8ECDA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8AEF1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26954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E9AE7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EB643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79A12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1E7D7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A2E76" w14:textId="3D9A65EA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</w:t>
            </w:r>
          </w:p>
          <w:p w14:paraId="7F4721D6" w14:textId="5F378FE3" w:rsidR="004A222B" w:rsidRPr="00A113D6" w:rsidRDefault="004A222B" w:rsidP="00E35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14:paraId="7F69616C" w14:textId="77777777" w:rsidR="00E673FA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E5AF5" w14:textId="77777777" w:rsidR="004A222B" w:rsidRDefault="004A222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1308D" w14:textId="77777777" w:rsidR="004A222B" w:rsidRDefault="004A222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33D23" w14:textId="367FDA82" w:rsidR="004A222B" w:rsidRPr="00A40FE6" w:rsidRDefault="00E53816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40FE6">
              <w:rPr>
                <w:rFonts w:ascii="Arial" w:hAnsi="Arial" w:cs="Arial"/>
                <w:sz w:val="24"/>
                <w:szCs w:val="24"/>
              </w:rPr>
              <w:t>Complete</w:t>
            </w:r>
          </w:p>
          <w:p w14:paraId="2247C923" w14:textId="77777777" w:rsidR="004A222B" w:rsidRPr="004A222B" w:rsidRDefault="004A222B" w:rsidP="00E351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D0FEFE8" w14:textId="77777777" w:rsidR="004A222B" w:rsidRDefault="004A222B" w:rsidP="00E351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312068C" w14:textId="77777777" w:rsidR="004F172F" w:rsidRPr="004A222B" w:rsidRDefault="004F172F" w:rsidP="00E351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B94E29A" w14:textId="77777777" w:rsidR="004A222B" w:rsidRDefault="005B22C3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5B22C3">
              <w:rPr>
                <w:rFonts w:ascii="Arial" w:hAnsi="Arial" w:cs="Arial"/>
                <w:sz w:val="24"/>
                <w:szCs w:val="24"/>
              </w:rPr>
              <w:t>Complete</w:t>
            </w:r>
          </w:p>
          <w:p w14:paraId="2E0E5138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0CAF3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4D161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7DEDE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46F3C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DF607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CB9D2" w14:textId="77777777" w:rsidR="009C0AFF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A1BE8" w14:textId="15F038E6" w:rsidR="009C0AFF" w:rsidRPr="00A113D6" w:rsidRDefault="009C0AFF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4D4222" w:rsidRPr="00FD79CE" w14:paraId="256553BF" w14:textId="77777777" w:rsidTr="00F265BA">
        <w:trPr>
          <w:trHeight w:val="449"/>
        </w:trPr>
        <w:tc>
          <w:tcPr>
            <w:tcW w:w="977" w:type="dxa"/>
            <w:shd w:val="clear" w:color="auto" w:fill="auto"/>
          </w:tcPr>
          <w:p w14:paraId="72C98D8F" w14:textId="77777777" w:rsidR="004D4222" w:rsidRDefault="004D4222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  <w:p w14:paraId="2B6E064B" w14:textId="5CC55259" w:rsidR="000523CF" w:rsidRDefault="005076CB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523CF">
              <w:rPr>
                <w:rFonts w:ascii="Arial" w:hAnsi="Arial" w:cs="Arial"/>
                <w:sz w:val="24"/>
                <w:szCs w:val="24"/>
              </w:rPr>
              <w:t>ii</w:t>
            </w:r>
          </w:p>
          <w:p w14:paraId="14668AB6" w14:textId="77777777" w:rsidR="00821224" w:rsidRDefault="0082122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F63C1" w14:textId="77777777" w:rsidR="00821224" w:rsidRDefault="0082122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28C10" w14:textId="77777777" w:rsidR="00821224" w:rsidRDefault="0082122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2B1ED" w14:textId="77777777" w:rsidR="001A1A12" w:rsidRDefault="001A1A1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09E4E" w14:textId="77777777" w:rsidR="00C94BDF" w:rsidRDefault="00C94BD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83D57" w14:textId="58BDF0E1" w:rsidR="00821224" w:rsidRDefault="005076CB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</w:tc>
        <w:tc>
          <w:tcPr>
            <w:tcW w:w="5941" w:type="dxa"/>
            <w:shd w:val="clear" w:color="auto" w:fill="auto"/>
          </w:tcPr>
          <w:p w14:paraId="3AB09D16" w14:textId="77777777" w:rsidR="004D4222" w:rsidRPr="004F172F" w:rsidRDefault="004D4222" w:rsidP="002F71C6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72F">
              <w:rPr>
                <w:rFonts w:ascii="Arial" w:hAnsi="Arial" w:cs="Arial"/>
                <w:sz w:val="24"/>
                <w:szCs w:val="24"/>
              </w:rPr>
              <w:t>Annual Review of Risk Register</w:t>
            </w:r>
          </w:p>
          <w:p w14:paraId="4A58412D" w14:textId="77777777" w:rsidR="004D4222" w:rsidRPr="004F172F" w:rsidRDefault="000523CF" w:rsidP="002F71C6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72F">
              <w:rPr>
                <w:rFonts w:ascii="Arial" w:hAnsi="Arial" w:cs="Arial"/>
                <w:sz w:val="24"/>
                <w:szCs w:val="24"/>
              </w:rPr>
              <w:t>Agreed to review the ragging of risk HLH 16 for the next quarterly report.</w:t>
            </w:r>
          </w:p>
          <w:p w14:paraId="5AA4123C" w14:textId="1414E28A" w:rsidR="000523CF" w:rsidRPr="003E7F56" w:rsidRDefault="009E08DA" w:rsidP="002F71C6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E7F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Reviewed </w:t>
            </w:r>
            <w:r w:rsidR="003E7F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with </w:t>
            </w:r>
            <w:r w:rsidRPr="003E7F56">
              <w:rPr>
                <w:rFonts w:ascii="Arial" w:hAnsi="Arial" w:cs="Arial"/>
                <w:i/>
                <w:iCs/>
                <w:sz w:val="24"/>
                <w:szCs w:val="24"/>
              </w:rPr>
              <w:t>no amend</w:t>
            </w:r>
            <w:r w:rsidR="00E907B1" w:rsidRPr="003E7F56">
              <w:rPr>
                <w:rFonts w:ascii="Arial" w:hAnsi="Arial" w:cs="Arial"/>
                <w:i/>
                <w:iCs/>
                <w:sz w:val="24"/>
                <w:szCs w:val="24"/>
              </w:rPr>
              <w:t>ment</w:t>
            </w:r>
            <w:r w:rsidRPr="003E7F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made at this stage </w:t>
            </w:r>
            <w:r w:rsidR="00630EC7">
              <w:rPr>
                <w:rFonts w:ascii="Arial" w:hAnsi="Arial" w:cs="Arial"/>
                <w:i/>
                <w:iCs/>
                <w:sz w:val="24"/>
                <w:szCs w:val="24"/>
              </w:rPr>
              <w:t>(whilst</w:t>
            </w:r>
            <w:r w:rsidR="00E907B1" w:rsidRPr="003E7F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A61C78" w:rsidRPr="003E7F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still within </w:t>
            </w:r>
            <w:r w:rsidR="00C94BDF" w:rsidRPr="003E7F56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E7F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andover and </w:t>
            </w:r>
            <w:r w:rsidR="00C94BDF" w:rsidRPr="003E7F56">
              <w:rPr>
                <w:rFonts w:ascii="Arial" w:hAnsi="Arial" w:cs="Arial"/>
                <w:i/>
                <w:iCs/>
                <w:sz w:val="24"/>
                <w:szCs w:val="24"/>
              </w:rPr>
              <w:t>other</w:t>
            </w:r>
            <w:r w:rsidRPr="003E7F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parallel operations at the Rugby Club site</w:t>
            </w:r>
            <w:r w:rsidR="00630EC7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 w:rsidR="00C94BDF" w:rsidRPr="003E7F5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3E7F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Further review </w:t>
            </w:r>
            <w:r w:rsidR="008B2E3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will take place </w:t>
            </w:r>
            <w:r w:rsidR="001A1A12">
              <w:rPr>
                <w:rFonts w:ascii="Arial" w:hAnsi="Arial" w:cs="Arial"/>
                <w:i/>
                <w:iCs/>
                <w:sz w:val="24"/>
                <w:szCs w:val="24"/>
              </w:rPr>
              <w:t>in due course.</w:t>
            </w:r>
          </w:p>
          <w:p w14:paraId="131974B0" w14:textId="77777777" w:rsidR="005076CB" w:rsidRPr="004F172F" w:rsidRDefault="005076CB" w:rsidP="002F71C6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72F">
              <w:rPr>
                <w:rFonts w:ascii="Arial" w:hAnsi="Arial" w:cs="Arial"/>
                <w:sz w:val="24"/>
                <w:szCs w:val="24"/>
              </w:rPr>
              <w:t>Risk HLH 03 to be amended to include reference to the possible shortage of tradespersons.</w:t>
            </w:r>
          </w:p>
          <w:p w14:paraId="7C45F297" w14:textId="599C9747" w:rsidR="005076CB" w:rsidRPr="004F172F" w:rsidRDefault="004F172F" w:rsidP="002F71C6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172F">
              <w:rPr>
                <w:rFonts w:ascii="Arial" w:hAnsi="Arial" w:cs="Arial"/>
                <w:i/>
                <w:iCs/>
                <w:sz w:val="24"/>
                <w:szCs w:val="24"/>
              </w:rPr>
              <w:t>Risk HLH 03 description updated to reflect above.</w:t>
            </w:r>
          </w:p>
        </w:tc>
        <w:tc>
          <w:tcPr>
            <w:tcW w:w="1345" w:type="dxa"/>
            <w:shd w:val="clear" w:color="auto" w:fill="auto"/>
          </w:tcPr>
          <w:p w14:paraId="0D1186C5" w14:textId="77777777" w:rsidR="004D4222" w:rsidRPr="004F172F" w:rsidRDefault="004D422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286FD" w14:textId="77777777" w:rsidR="00821224" w:rsidRPr="004F172F" w:rsidRDefault="0082122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56249" w14:textId="77777777" w:rsidR="00821224" w:rsidRPr="004F172F" w:rsidRDefault="0082122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ACC21" w14:textId="6BEBCDE2" w:rsidR="00821224" w:rsidRPr="004F172F" w:rsidRDefault="00821224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4F172F">
              <w:rPr>
                <w:rFonts w:ascii="Arial" w:hAnsi="Arial" w:cs="Arial"/>
                <w:sz w:val="24"/>
                <w:szCs w:val="24"/>
              </w:rPr>
              <w:t>SW</w:t>
            </w:r>
          </w:p>
          <w:p w14:paraId="560A2DA8" w14:textId="77777777" w:rsidR="004F172F" w:rsidRPr="004F172F" w:rsidRDefault="004F172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9DDCD" w14:textId="77777777" w:rsidR="004F172F" w:rsidRPr="004F172F" w:rsidRDefault="004F172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A6816" w14:textId="77777777" w:rsidR="004F172F" w:rsidRPr="004F172F" w:rsidRDefault="004F172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88FB5" w14:textId="5046386F" w:rsidR="004F172F" w:rsidRPr="004F172F" w:rsidRDefault="004F172F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4F172F"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324" w:type="dxa"/>
            <w:shd w:val="clear" w:color="auto" w:fill="auto"/>
          </w:tcPr>
          <w:p w14:paraId="24B893AA" w14:textId="77777777" w:rsidR="004D4222" w:rsidRPr="004F172F" w:rsidRDefault="004D422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86C18" w14:textId="77777777" w:rsidR="00821224" w:rsidRPr="004F172F" w:rsidRDefault="0082122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9DC55" w14:textId="77777777" w:rsidR="00821224" w:rsidRPr="004F172F" w:rsidRDefault="0082122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661EA" w14:textId="77777777" w:rsidR="00821224" w:rsidRPr="004F172F" w:rsidRDefault="00821224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4F172F">
              <w:rPr>
                <w:rFonts w:ascii="Arial" w:hAnsi="Arial" w:cs="Arial"/>
                <w:sz w:val="24"/>
                <w:szCs w:val="24"/>
              </w:rPr>
              <w:t>Complete</w:t>
            </w:r>
          </w:p>
          <w:p w14:paraId="49DF3E07" w14:textId="77777777" w:rsidR="004F172F" w:rsidRPr="004F172F" w:rsidRDefault="004F172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0ABB0" w14:textId="77777777" w:rsidR="004F172F" w:rsidRPr="004F172F" w:rsidRDefault="004F172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38517" w14:textId="77777777" w:rsidR="004F172F" w:rsidRPr="004F172F" w:rsidRDefault="004F172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DC82E" w14:textId="6E140EEA" w:rsidR="004F172F" w:rsidRPr="004F172F" w:rsidRDefault="004F172F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4F172F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F265BA" w:rsidRPr="00FD79CE" w14:paraId="1A364829" w14:textId="77777777" w:rsidTr="00F265BA">
        <w:trPr>
          <w:trHeight w:val="449"/>
        </w:trPr>
        <w:tc>
          <w:tcPr>
            <w:tcW w:w="977" w:type="dxa"/>
            <w:shd w:val="clear" w:color="auto" w:fill="auto"/>
          </w:tcPr>
          <w:p w14:paraId="2D92F89A" w14:textId="65FE5756" w:rsidR="00501DE9" w:rsidRDefault="004E44B1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941" w:type="dxa"/>
            <w:shd w:val="clear" w:color="auto" w:fill="auto"/>
          </w:tcPr>
          <w:p w14:paraId="7B41EA56" w14:textId="77777777" w:rsidR="00D01F0A" w:rsidRDefault="004E44B1" w:rsidP="002F71C6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4B1">
              <w:rPr>
                <w:rFonts w:ascii="Arial" w:hAnsi="Arial" w:cs="Arial"/>
                <w:sz w:val="24"/>
                <w:szCs w:val="24"/>
              </w:rPr>
              <w:t xml:space="preserve">Youth Convener </w:t>
            </w:r>
            <w:r>
              <w:rPr>
                <w:rFonts w:ascii="Arial" w:hAnsi="Arial" w:cs="Arial"/>
                <w:sz w:val="24"/>
                <w:szCs w:val="24"/>
              </w:rPr>
              <w:t>Update</w:t>
            </w:r>
          </w:p>
          <w:p w14:paraId="2C872EAE" w14:textId="77777777" w:rsidR="004E44B1" w:rsidRPr="00A73680" w:rsidRDefault="004E44B1" w:rsidP="002F71C6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680">
              <w:rPr>
                <w:rFonts w:ascii="Arial" w:hAnsi="Arial" w:cs="Arial"/>
                <w:sz w:val="24"/>
                <w:szCs w:val="24"/>
              </w:rPr>
              <w:t>The Youth Convener to be asked to attend a board meeting mid tenur</w:t>
            </w:r>
            <w:r w:rsidR="00A73680" w:rsidRPr="00A73680">
              <w:rPr>
                <w:rFonts w:ascii="Arial" w:hAnsi="Arial" w:cs="Arial"/>
                <w:sz w:val="24"/>
                <w:szCs w:val="24"/>
              </w:rPr>
              <w:t>e.</w:t>
            </w:r>
          </w:p>
          <w:p w14:paraId="7A57F0F3" w14:textId="59EB5660" w:rsidR="00A73680" w:rsidRPr="00A73680" w:rsidRDefault="004D4222" w:rsidP="002F71C6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A03F67">
              <w:rPr>
                <w:rFonts w:ascii="Arial" w:hAnsi="Arial" w:cs="Arial"/>
                <w:i/>
                <w:iCs/>
                <w:sz w:val="24"/>
                <w:szCs w:val="24"/>
              </w:rPr>
              <w:t>Included on the draft agenda for March 2024 HLH Board meeting.</w:t>
            </w:r>
          </w:p>
        </w:tc>
        <w:tc>
          <w:tcPr>
            <w:tcW w:w="1345" w:type="dxa"/>
            <w:shd w:val="clear" w:color="auto" w:fill="auto"/>
          </w:tcPr>
          <w:p w14:paraId="5226F62A" w14:textId="77777777" w:rsidR="00D01F0A" w:rsidRDefault="00D01F0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2B8E2" w14:textId="77777777" w:rsidR="00A73680" w:rsidRDefault="00A7368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45A69" w14:textId="77777777" w:rsidR="00A73680" w:rsidRDefault="00A7368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3A5A6" w14:textId="0EEFBD65" w:rsidR="00A73680" w:rsidRPr="00AB3C3F" w:rsidRDefault="00A7368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JW</w:t>
            </w:r>
          </w:p>
        </w:tc>
        <w:tc>
          <w:tcPr>
            <w:tcW w:w="1324" w:type="dxa"/>
            <w:shd w:val="clear" w:color="auto" w:fill="auto"/>
          </w:tcPr>
          <w:p w14:paraId="5090539D" w14:textId="77777777" w:rsidR="002F71C6" w:rsidRDefault="002F71C6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B0A8F" w14:textId="77777777" w:rsidR="00A73680" w:rsidRDefault="00A7368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75873" w14:textId="77777777" w:rsidR="00A73680" w:rsidRDefault="00A7368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67F16" w14:textId="673DE461" w:rsidR="00A73680" w:rsidRPr="00AB3C3F" w:rsidRDefault="00A7368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2024</w:t>
            </w:r>
          </w:p>
        </w:tc>
      </w:tr>
    </w:tbl>
    <w:p w14:paraId="4739175A" w14:textId="0E3F21F5" w:rsidR="004E0C83" w:rsidRDefault="004E0C83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p w14:paraId="181ABC6A" w14:textId="77777777" w:rsidR="000D5583" w:rsidRDefault="000D5583" w:rsidP="000D5583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p w14:paraId="06AEBDD9" w14:textId="0280FC63" w:rsidR="000D5583" w:rsidRPr="000D5583" w:rsidRDefault="000D5583" w:rsidP="00A03F67">
      <w:pPr>
        <w:pStyle w:val="ListParagraph"/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0D5583" w:rsidRPr="000D5583" w:rsidSect="00A37C03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31F"/>
    <w:multiLevelType w:val="hybridMultilevel"/>
    <w:tmpl w:val="9080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35D82"/>
    <w:multiLevelType w:val="hybridMultilevel"/>
    <w:tmpl w:val="F6F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83128">
    <w:abstractNumId w:val="1"/>
  </w:num>
  <w:num w:numId="2" w16cid:durableId="53759469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3A91"/>
    <w:rsid w:val="00004371"/>
    <w:rsid w:val="00006EE9"/>
    <w:rsid w:val="000104C2"/>
    <w:rsid w:val="00010F09"/>
    <w:rsid w:val="00012953"/>
    <w:rsid w:val="00014761"/>
    <w:rsid w:val="000216F1"/>
    <w:rsid w:val="000231FA"/>
    <w:rsid w:val="00030587"/>
    <w:rsid w:val="00035BB1"/>
    <w:rsid w:val="0003715D"/>
    <w:rsid w:val="000446AE"/>
    <w:rsid w:val="00047C79"/>
    <w:rsid w:val="000523CF"/>
    <w:rsid w:val="00052EF7"/>
    <w:rsid w:val="000533BE"/>
    <w:rsid w:val="00053BA9"/>
    <w:rsid w:val="0005730B"/>
    <w:rsid w:val="00063267"/>
    <w:rsid w:val="00066DF9"/>
    <w:rsid w:val="00071FF4"/>
    <w:rsid w:val="00073290"/>
    <w:rsid w:val="000763E5"/>
    <w:rsid w:val="00083680"/>
    <w:rsid w:val="00083A51"/>
    <w:rsid w:val="00084379"/>
    <w:rsid w:val="00085D0D"/>
    <w:rsid w:val="00090B15"/>
    <w:rsid w:val="00097F59"/>
    <w:rsid w:val="000A077D"/>
    <w:rsid w:val="000A7A57"/>
    <w:rsid w:val="000B1997"/>
    <w:rsid w:val="000B2C42"/>
    <w:rsid w:val="000B3A34"/>
    <w:rsid w:val="000B6A03"/>
    <w:rsid w:val="000C3247"/>
    <w:rsid w:val="000C7720"/>
    <w:rsid w:val="000D2FA9"/>
    <w:rsid w:val="000D47CD"/>
    <w:rsid w:val="000D5130"/>
    <w:rsid w:val="000D5583"/>
    <w:rsid w:val="000E1E8D"/>
    <w:rsid w:val="000E341A"/>
    <w:rsid w:val="000F0D07"/>
    <w:rsid w:val="000F2078"/>
    <w:rsid w:val="000F2466"/>
    <w:rsid w:val="000F6AD0"/>
    <w:rsid w:val="000F79F5"/>
    <w:rsid w:val="00103293"/>
    <w:rsid w:val="00111CAB"/>
    <w:rsid w:val="001122D2"/>
    <w:rsid w:val="00116DFC"/>
    <w:rsid w:val="00120C46"/>
    <w:rsid w:val="00123AFA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0190"/>
    <w:rsid w:val="00164FF1"/>
    <w:rsid w:val="0016555D"/>
    <w:rsid w:val="001666E4"/>
    <w:rsid w:val="0017249F"/>
    <w:rsid w:val="0017422A"/>
    <w:rsid w:val="001804E1"/>
    <w:rsid w:val="00182560"/>
    <w:rsid w:val="001846AA"/>
    <w:rsid w:val="001847BE"/>
    <w:rsid w:val="0019006C"/>
    <w:rsid w:val="001917AD"/>
    <w:rsid w:val="00197F3A"/>
    <w:rsid w:val="001A1A12"/>
    <w:rsid w:val="001A201C"/>
    <w:rsid w:val="001A3B6D"/>
    <w:rsid w:val="001A5BCE"/>
    <w:rsid w:val="001B1293"/>
    <w:rsid w:val="001B2BCD"/>
    <w:rsid w:val="001B2D02"/>
    <w:rsid w:val="001B7E6A"/>
    <w:rsid w:val="001C45BD"/>
    <w:rsid w:val="001C57C8"/>
    <w:rsid w:val="001C60A5"/>
    <w:rsid w:val="001C6948"/>
    <w:rsid w:val="001D098B"/>
    <w:rsid w:val="001D354C"/>
    <w:rsid w:val="001D65CA"/>
    <w:rsid w:val="001D6D7E"/>
    <w:rsid w:val="001D6E6C"/>
    <w:rsid w:val="001D7842"/>
    <w:rsid w:val="001E31FC"/>
    <w:rsid w:val="001E3E0C"/>
    <w:rsid w:val="001E401D"/>
    <w:rsid w:val="001E452F"/>
    <w:rsid w:val="001F28B2"/>
    <w:rsid w:val="001F679F"/>
    <w:rsid w:val="001F6B15"/>
    <w:rsid w:val="001F6FF7"/>
    <w:rsid w:val="001F78C2"/>
    <w:rsid w:val="00205BD6"/>
    <w:rsid w:val="00206D80"/>
    <w:rsid w:val="00210ADB"/>
    <w:rsid w:val="00211E12"/>
    <w:rsid w:val="00213A8C"/>
    <w:rsid w:val="00217890"/>
    <w:rsid w:val="00225F1F"/>
    <w:rsid w:val="0023085C"/>
    <w:rsid w:val="00233CFA"/>
    <w:rsid w:val="00233E75"/>
    <w:rsid w:val="002363AE"/>
    <w:rsid w:val="00237C06"/>
    <w:rsid w:val="00246342"/>
    <w:rsid w:val="002537C5"/>
    <w:rsid w:val="0025598A"/>
    <w:rsid w:val="002640F1"/>
    <w:rsid w:val="00266B80"/>
    <w:rsid w:val="002747D1"/>
    <w:rsid w:val="0027684D"/>
    <w:rsid w:val="00285480"/>
    <w:rsid w:val="00287306"/>
    <w:rsid w:val="002943A5"/>
    <w:rsid w:val="002952A1"/>
    <w:rsid w:val="002A3373"/>
    <w:rsid w:val="002A3FC3"/>
    <w:rsid w:val="002A73B0"/>
    <w:rsid w:val="002A7A05"/>
    <w:rsid w:val="002B052C"/>
    <w:rsid w:val="002B2AA0"/>
    <w:rsid w:val="002B3FEF"/>
    <w:rsid w:val="002B4499"/>
    <w:rsid w:val="002B6910"/>
    <w:rsid w:val="002B78B7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F5339"/>
    <w:rsid w:val="002F5353"/>
    <w:rsid w:val="002F6F5E"/>
    <w:rsid w:val="002F71C6"/>
    <w:rsid w:val="003069A9"/>
    <w:rsid w:val="00306E7B"/>
    <w:rsid w:val="003118F4"/>
    <w:rsid w:val="00314CA2"/>
    <w:rsid w:val="00316412"/>
    <w:rsid w:val="003170CC"/>
    <w:rsid w:val="00330974"/>
    <w:rsid w:val="00331F7E"/>
    <w:rsid w:val="00335FEA"/>
    <w:rsid w:val="00354078"/>
    <w:rsid w:val="0035545E"/>
    <w:rsid w:val="00361DBC"/>
    <w:rsid w:val="00362DDA"/>
    <w:rsid w:val="00366C9E"/>
    <w:rsid w:val="003753CF"/>
    <w:rsid w:val="00376F44"/>
    <w:rsid w:val="00380CD1"/>
    <w:rsid w:val="003858C4"/>
    <w:rsid w:val="00391051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363"/>
    <w:rsid w:val="003C0B8F"/>
    <w:rsid w:val="003C0DC6"/>
    <w:rsid w:val="003C31BE"/>
    <w:rsid w:val="003C4762"/>
    <w:rsid w:val="003D4866"/>
    <w:rsid w:val="003D7263"/>
    <w:rsid w:val="003D7C22"/>
    <w:rsid w:val="003E173A"/>
    <w:rsid w:val="003E243E"/>
    <w:rsid w:val="003E772C"/>
    <w:rsid w:val="003E7F56"/>
    <w:rsid w:val="003F3238"/>
    <w:rsid w:val="003F3C0E"/>
    <w:rsid w:val="003F5213"/>
    <w:rsid w:val="003F6258"/>
    <w:rsid w:val="00402196"/>
    <w:rsid w:val="00406540"/>
    <w:rsid w:val="00416A32"/>
    <w:rsid w:val="00425084"/>
    <w:rsid w:val="00427BBD"/>
    <w:rsid w:val="00431AF5"/>
    <w:rsid w:val="00436FCF"/>
    <w:rsid w:val="00440496"/>
    <w:rsid w:val="00440619"/>
    <w:rsid w:val="00441562"/>
    <w:rsid w:val="00444234"/>
    <w:rsid w:val="0044471C"/>
    <w:rsid w:val="00446BF3"/>
    <w:rsid w:val="004545DE"/>
    <w:rsid w:val="004561D7"/>
    <w:rsid w:val="0047044E"/>
    <w:rsid w:val="00470519"/>
    <w:rsid w:val="00473AD3"/>
    <w:rsid w:val="00481B26"/>
    <w:rsid w:val="00491F7C"/>
    <w:rsid w:val="00494D8C"/>
    <w:rsid w:val="0049604C"/>
    <w:rsid w:val="004965DB"/>
    <w:rsid w:val="00496923"/>
    <w:rsid w:val="004A1C63"/>
    <w:rsid w:val="004A222B"/>
    <w:rsid w:val="004A3E99"/>
    <w:rsid w:val="004A536A"/>
    <w:rsid w:val="004A5705"/>
    <w:rsid w:val="004B4BE3"/>
    <w:rsid w:val="004B6391"/>
    <w:rsid w:val="004B7131"/>
    <w:rsid w:val="004B7775"/>
    <w:rsid w:val="004B7DD9"/>
    <w:rsid w:val="004C1A4D"/>
    <w:rsid w:val="004C23A2"/>
    <w:rsid w:val="004C3E68"/>
    <w:rsid w:val="004D4222"/>
    <w:rsid w:val="004D60D2"/>
    <w:rsid w:val="004E0C83"/>
    <w:rsid w:val="004E1315"/>
    <w:rsid w:val="004E2971"/>
    <w:rsid w:val="004E44B1"/>
    <w:rsid w:val="004E4710"/>
    <w:rsid w:val="004E7255"/>
    <w:rsid w:val="004F172F"/>
    <w:rsid w:val="005005E4"/>
    <w:rsid w:val="00500725"/>
    <w:rsid w:val="00501775"/>
    <w:rsid w:val="00501C71"/>
    <w:rsid w:val="00501DE9"/>
    <w:rsid w:val="0050302D"/>
    <w:rsid w:val="005045F2"/>
    <w:rsid w:val="00505B6D"/>
    <w:rsid w:val="005076CB"/>
    <w:rsid w:val="00510A3E"/>
    <w:rsid w:val="00510C3B"/>
    <w:rsid w:val="00511172"/>
    <w:rsid w:val="0051150D"/>
    <w:rsid w:val="0051386A"/>
    <w:rsid w:val="0052758A"/>
    <w:rsid w:val="00531568"/>
    <w:rsid w:val="00532A65"/>
    <w:rsid w:val="005352F3"/>
    <w:rsid w:val="00535BE0"/>
    <w:rsid w:val="00536E2D"/>
    <w:rsid w:val="00540FEE"/>
    <w:rsid w:val="0054761A"/>
    <w:rsid w:val="005527BC"/>
    <w:rsid w:val="005619DA"/>
    <w:rsid w:val="00562C72"/>
    <w:rsid w:val="00563269"/>
    <w:rsid w:val="0056445A"/>
    <w:rsid w:val="00571AF0"/>
    <w:rsid w:val="00573B30"/>
    <w:rsid w:val="00575A59"/>
    <w:rsid w:val="00587D92"/>
    <w:rsid w:val="00590015"/>
    <w:rsid w:val="005906BB"/>
    <w:rsid w:val="005915DF"/>
    <w:rsid w:val="005A15DD"/>
    <w:rsid w:val="005B02E7"/>
    <w:rsid w:val="005B10AD"/>
    <w:rsid w:val="005B22C3"/>
    <w:rsid w:val="005B29F2"/>
    <w:rsid w:val="005B5C26"/>
    <w:rsid w:val="005B60A9"/>
    <w:rsid w:val="005B6250"/>
    <w:rsid w:val="005E02BC"/>
    <w:rsid w:val="005E104D"/>
    <w:rsid w:val="005E2D50"/>
    <w:rsid w:val="005F29CE"/>
    <w:rsid w:val="005F2C2C"/>
    <w:rsid w:val="00605193"/>
    <w:rsid w:val="0060668F"/>
    <w:rsid w:val="00611A76"/>
    <w:rsid w:val="006154DA"/>
    <w:rsid w:val="0061620B"/>
    <w:rsid w:val="00621B7E"/>
    <w:rsid w:val="00621CF2"/>
    <w:rsid w:val="00630EC7"/>
    <w:rsid w:val="0063271A"/>
    <w:rsid w:val="006371C6"/>
    <w:rsid w:val="006403BD"/>
    <w:rsid w:val="00641761"/>
    <w:rsid w:val="00644E6A"/>
    <w:rsid w:val="00652E0E"/>
    <w:rsid w:val="00654570"/>
    <w:rsid w:val="00657124"/>
    <w:rsid w:val="00657EAC"/>
    <w:rsid w:val="00661688"/>
    <w:rsid w:val="00661E17"/>
    <w:rsid w:val="00662149"/>
    <w:rsid w:val="00662BF5"/>
    <w:rsid w:val="00664DFC"/>
    <w:rsid w:val="00665060"/>
    <w:rsid w:val="00672376"/>
    <w:rsid w:val="00677AA7"/>
    <w:rsid w:val="00681E42"/>
    <w:rsid w:val="00683361"/>
    <w:rsid w:val="00687BEA"/>
    <w:rsid w:val="006944C0"/>
    <w:rsid w:val="00694741"/>
    <w:rsid w:val="00696D30"/>
    <w:rsid w:val="00697463"/>
    <w:rsid w:val="006A48C3"/>
    <w:rsid w:val="006A750B"/>
    <w:rsid w:val="006B090A"/>
    <w:rsid w:val="006B437F"/>
    <w:rsid w:val="006B4533"/>
    <w:rsid w:val="006C097E"/>
    <w:rsid w:val="006C14E7"/>
    <w:rsid w:val="006C2017"/>
    <w:rsid w:val="006C3407"/>
    <w:rsid w:val="006C5DA8"/>
    <w:rsid w:val="006C6BE7"/>
    <w:rsid w:val="006D4407"/>
    <w:rsid w:val="006E397B"/>
    <w:rsid w:val="006E4E94"/>
    <w:rsid w:val="006F0BEA"/>
    <w:rsid w:val="006F405F"/>
    <w:rsid w:val="007021CC"/>
    <w:rsid w:val="00702DC6"/>
    <w:rsid w:val="007046F9"/>
    <w:rsid w:val="0070485C"/>
    <w:rsid w:val="00707E3A"/>
    <w:rsid w:val="00712FAF"/>
    <w:rsid w:val="0071340D"/>
    <w:rsid w:val="007160F1"/>
    <w:rsid w:val="007171C1"/>
    <w:rsid w:val="007209FB"/>
    <w:rsid w:val="00720D0D"/>
    <w:rsid w:val="0072597C"/>
    <w:rsid w:val="007302C5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86C2F"/>
    <w:rsid w:val="00786D53"/>
    <w:rsid w:val="00791D59"/>
    <w:rsid w:val="0079658A"/>
    <w:rsid w:val="00797F52"/>
    <w:rsid w:val="007A1284"/>
    <w:rsid w:val="007A3A06"/>
    <w:rsid w:val="007B3A53"/>
    <w:rsid w:val="007C1D65"/>
    <w:rsid w:val="007C5259"/>
    <w:rsid w:val="007D1701"/>
    <w:rsid w:val="007D1780"/>
    <w:rsid w:val="007E2C39"/>
    <w:rsid w:val="007E49AF"/>
    <w:rsid w:val="007F2267"/>
    <w:rsid w:val="007F40AD"/>
    <w:rsid w:val="00807108"/>
    <w:rsid w:val="00811F58"/>
    <w:rsid w:val="00821224"/>
    <w:rsid w:val="00821850"/>
    <w:rsid w:val="00827282"/>
    <w:rsid w:val="008327B2"/>
    <w:rsid w:val="00833CC7"/>
    <w:rsid w:val="008374BD"/>
    <w:rsid w:val="008404B0"/>
    <w:rsid w:val="008412DE"/>
    <w:rsid w:val="00843830"/>
    <w:rsid w:val="008447CC"/>
    <w:rsid w:val="00844E20"/>
    <w:rsid w:val="00846FFA"/>
    <w:rsid w:val="00854421"/>
    <w:rsid w:val="00854E7B"/>
    <w:rsid w:val="00860F3F"/>
    <w:rsid w:val="00864109"/>
    <w:rsid w:val="00864133"/>
    <w:rsid w:val="00866BFC"/>
    <w:rsid w:val="00873960"/>
    <w:rsid w:val="00873D88"/>
    <w:rsid w:val="00873F62"/>
    <w:rsid w:val="00874A42"/>
    <w:rsid w:val="00880248"/>
    <w:rsid w:val="00883648"/>
    <w:rsid w:val="008843E0"/>
    <w:rsid w:val="00884791"/>
    <w:rsid w:val="008850FD"/>
    <w:rsid w:val="00893FAA"/>
    <w:rsid w:val="00894867"/>
    <w:rsid w:val="008A0BFA"/>
    <w:rsid w:val="008A19CB"/>
    <w:rsid w:val="008A1A0C"/>
    <w:rsid w:val="008A1B8C"/>
    <w:rsid w:val="008A4340"/>
    <w:rsid w:val="008A4440"/>
    <w:rsid w:val="008B07E0"/>
    <w:rsid w:val="008B2E33"/>
    <w:rsid w:val="008B4F4C"/>
    <w:rsid w:val="008B5FA4"/>
    <w:rsid w:val="008C51AE"/>
    <w:rsid w:val="008D043F"/>
    <w:rsid w:val="008D06DC"/>
    <w:rsid w:val="008D1B31"/>
    <w:rsid w:val="008D394A"/>
    <w:rsid w:val="008D5A8A"/>
    <w:rsid w:val="008D5F44"/>
    <w:rsid w:val="008E13E5"/>
    <w:rsid w:val="008F2DB9"/>
    <w:rsid w:val="008F4E47"/>
    <w:rsid w:val="00902274"/>
    <w:rsid w:val="00906B49"/>
    <w:rsid w:val="009126F0"/>
    <w:rsid w:val="00912C06"/>
    <w:rsid w:val="009169CE"/>
    <w:rsid w:val="00917BF9"/>
    <w:rsid w:val="00921223"/>
    <w:rsid w:val="00930CFD"/>
    <w:rsid w:val="00932F95"/>
    <w:rsid w:val="009378CD"/>
    <w:rsid w:val="0094047C"/>
    <w:rsid w:val="0094077B"/>
    <w:rsid w:val="00940E3A"/>
    <w:rsid w:val="0094492F"/>
    <w:rsid w:val="009461E0"/>
    <w:rsid w:val="00947629"/>
    <w:rsid w:val="00963CD7"/>
    <w:rsid w:val="00976663"/>
    <w:rsid w:val="00977A27"/>
    <w:rsid w:val="0098330F"/>
    <w:rsid w:val="00987187"/>
    <w:rsid w:val="00992173"/>
    <w:rsid w:val="00994324"/>
    <w:rsid w:val="00994A62"/>
    <w:rsid w:val="009953BC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4C59"/>
    <w:rsid w:val="009B5478"/>
    <w:rsid w:val="009B6305"/>
    <w:rsid w:val="009C0AFF"/>
    <w:rsid w:val="009C2BA9"/>
    <w:rsid w:val="009C4998"/>
    <w:rsid w:val="009C6825"/>
    <w:rsid w:val="009C685A"/>
    <w:rsid w:val="009C7AD8"/>
    <w:rsid w:val="009D26C8"/>
    <w:rsid w:val="009E08DA"/>
    <w:rsid w:val="009E09DB"/>
    <w:rsid w:val="009E0F74"/>
    <w:rsid w:val="009E4034"/>
    <w:rsid w:val="009F165B"/>
    <w:rsid w:val="009F3A4B"/>
    <w:rsid w:val="009F53BF"/>
    <w:rsid w:val="009F6BF2"/>
    <w:rsid w:val="00A01986"/>
    <w:rsid w:val="00A03F67"/>
    <w:rsid w:val="00A113D6"/>
    <w:rsid w:val="00A13E6C"/>
    <w:rsid w:val="00A25258"/>
    <w:rsid w:val="00A264EC"/>
    <w:rsid w:val="00A27742"/>
    <w:rsid w:val="00A27B44"/>
    <w:rsid w:val="00A30DB0"/>
    <w:rsid w:val="00A31911"/>
    <w:rsid w:val="00A345B0"/>
    <w:rsid w:val="00A35CB5"/>
    <w:rsid w:val="00A368D9"/>
    <w:rsid w:val="00A37C03"/>
    <w:rsid w:val="00A37DA3"/>
    <w:rsid w:val="00A40FE6"/>
    <w:rsid w:val="00A432B5"/>
    <w:rsid w:val="00A45892"/>
    <w:rsid w:val="00A45F14"/>
    <w:rsid w:val="00A53622"/>
    <w:rsid w:val="00A573C2"/>
    <w:rsid w:val="00A615BC"/>
    <w:rsid w:val="00A61C78"/>
    <w:rsid w:val="00A6315D"/>
    <w:rsid w:val="00A66C31"/>
    <w:rsid w:val="00A67474"/>
    <w:rsid w:val="00A713A3"/>
    <w:rsid w:val="00A73680"/>
    <w:rsid w:val="00A7591F"/>
    <w:rsid w:val="00A772B8"/>
    <w:rsid w:val="00A77F50"/>
    <w:rsid w:val="00A83B61"/>
    <w:rsid w:val="00A86218"/>
    <w:rsid w:val="00A909B5"/>
    <w:rsid w:val="00A91910"/>
    <w:rsid w:val="00A91EF6"/>
    <w:rsid w:val="00A93D1C"/>
    <w:rsid w:val="00AA4583"/>
    <w:rsid w:val="00AA4CF1"/>
    <w:rsid w:val="00AA718A"/>
    <w:rsid w:val="00AB0B32"/>
    <w:rsid w:val="00AB3438"/>
    <w:rsid w:val="00AB3C3F"/>
    <w:rsid w:val="00AB3C48"/>
    <w:rsid w:val="00AB439C"/>
    <w:rsid w:val="00AB5C65"/>
    <w:rsid w:val="00AB6B7B"/>
    <w:rsid w:val="00AC0FD7"/>
    <w:rsid w:val="00AC1D13"/>
    <w:rsid w:val="00AC3D50"/>
    <w:rsid w:val="00AC531E"/>
    <w:rsid w:val="00AC58C1"/>
    <w:rsid w:val="00AC755E"/>
    <w:rsid w:val="00AC78B9"/>
    <w:rsid w:val="00AE17B4"/>
    <w:rsid w:val="00AE3956"/>
    <w:rsid w:val="00AE6781"/>
    <w:rsid w:val="00AE7D3D"/>
    <w:rsid w:val="00AF576E"/>
    <w:rsid w:val="00B06FA1"/>
    <w:rsid w:val="00B07CFA"/>
    <w:rsid w:val="00B1542E"/>
    <w:rsid w:val="00B16CE9"/>
    <w:rsid w:val="00B24E0C"/>
    <w:rsid w:val="00B26A83"/>
    <w:rsid w:val="00B334B9"/>
    <w:rsid w:val="00B3411F"/>
    <w:rsid w:val="00B34DB3"/>
    <w:rsid w:val="00B36E50"/>
    <w:rsid w:val="00B42C97"/>
    <w:rsid w:val="00B43E0F"/>
    <w:rsid w:val="00B5143D"/>
    <w:rsid w:val="00B51E02"/>
    <w:rsid w:val="00B52874"/>
    <w:rsid w:val="00B5387F"/>
    <w:rsid w:val="00B54A07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C2623"/>
    <w:rsid w:val="00BD15CF"/>
    <w:rsid w:val="00BD6C7B"/>
    <w:rsid w:val="00BE087E"/>
    <w:rsid w:val="00BE5F8A"/>
    <w:rsid w:val="00BE7214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27EB5"/>
    <w:rsid w:val="00C30771"/>
    <w:rsid w:val="00C33F4C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68E4"/>
    <w:rsid w:val="00C77B42"/>
    <w:rsid w:val="00C77B5A"/>
    <w:rsid w:val="00C840D5"/>
    <w:rsid w:val="00C851DE"/>
    <w:rsid w:val="00C86DBF"/>
    <w:rsid w:val="00C94BC2"/>
    <w:rsid w:val="00C94BDF"/>
    <w:rsid w:val="00C9564C"/>
    <w:rsid w:val="00C95BD2"/>
    <w:rsid w:val="00C960A3"/>
    <w:rsid w:val="00CA211B"/>
    <w:rsid w:val="00CA7F19"/>
    <w:rsid w:val="00CB163C"/>
    <w:rsid w:val="00CB5FC7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3419"/>
    <w:rsid w:val="00CF59C2"/>
    <w:rsid w:val="00D001C9"/>
    <w:rsid w:val="00D00FAF"/>
    <w:rsid w:val="00D01F0A"/>
    <w:rsid w:val="00D02DB3"/>
    <w:rsid w:val="00D07845"/>
    <w:rsid w:val="00D10DFD"/>
    <w:rsid w:val="00D14EC1"/>
    <w:rsid w:val="00D20B18"/>
    <w:rsid w:val="00D42427"/>
    <w:rsid w:val="00D438C1"/>
    <w:rsid w:val="00D45860"/>
    <w:rsid w:val="00D47F7D"/>
    <w:rsid w:val="00D50704"/>
    <w:rsid w:val="00D53DEA"/>
    <w:rsid w:val="00D540CE"/>
    <w:rsid w:val="00D65C3F"/>
    <w:rsid w:val="00D65C48"/>
    <w:rsid w:val="00D805F2"/>
    <w:rsid w:val="00D8542B"/>
    <w:rsid w:val="00D91ACF"/>
    <w:rsid w:val="00D922B5"/>
    <w:rsid w:val="00D964F3"/>
    <w:rsid w:val="00DA1139"/>
    <w:rsid w:val="00DA6049"/>
    <w:rsid w:val="00DA76DE"/>
    <w:rsid w:val="00DA7DFB"/>
    <w:rsid w:val="00DB4D98"/>
    <w:rsid w:val="00DB7F4C"/>
    <w:rsid w:val="00DC0A88"/>
    <w:rsid w:val="00DC4099"/>
    <w:rsid w:val="00DC44C0"/>
    <w:rsid w:val="00DC5A03"/>
    <w:rsid w:val="00DD1D6B"/>
    <w:rsid w:val="00DD3714"/>
    <w:rsid w:val="00DD4289"/>
    <w:rsid w:val="00DD6943"/>
    <w:rsid w:val="00DE3554"/>
    <w:rsid w:val="00DE6212"/>
    <w:rsid w:val="00DE6C6B"/>
    <w:rsid w:val="00DF09CE"/>
    <w:rsid w:val="00DF1651"/>
    <w:rsid w:val="00DF1780"/>
    <w:rsid w:val="00DF2087"/>
    <w:rsid w:val="00E0011C"/>
    <w:rsid w:val="00E009CD"/>
    <w:rsid w:val="00E01B04"/>
    <w:rsid w:val="00E135C1"/>
    <w:rsid w:val="00E1689D"/>
    <w:rsid w:val="00E204A2"/>
    <w:rsid w:val="00E229D2"/>
    <w:rsid w:val="00E23DD5"/>
    <w:rsid w:val="00E257A0"/>
    <w:rsid w:val="00E35190"/>
    <w:rsid w:val="00E41460"/>
    <w:rsid w:val="00E44804"/>
    <w:rsid w:val="00E45D50"/>
    <w:rsid w:val="00E51E33"/>
    <w:rsid w:val="00E53816"/>
    <w:rsid w:val="00E553E6"/>
    <w:rsid w:val="00E673FA"/>
    <w:rsid w:val="00E7014B"/>
    <w:rsid w:val="00E724B5"/>
    <w:rsid w:val="00E7783D"/>
    <w:rsid w:val="00E82A30"/>
    <w:rsid w:val="00E840E8"/>
    <w:rsid w:val="00E85369"/>
    <w:rsid w:val="00E85907"/>
    <w:rsid w:val="00E907B1"/>
    <w:rsid w:val="00E92A1A"/>
    <w:rsid w:val="00EA4EE1"/>
    <w:rsid w:val="00EA796B"/>
    <w:rsid w:val="00EA7C95"/>
    <w:rsid w:val="00EB0B7F"/>
    <w:rsid w:val="00EB21D4"/>
    <w:rsid w:val="00EB3190"/>
    <w:rsid w:val="00EB5187"/>
    <w:rsid w:val="00EB7453"/>
    <w:rsid w:val="00EC7380"/>
    <w:rsid w:val="00ED03CF"/>
    <w:rsid w:val="00ED4A96"/>
    <w:rsid w:val="00ED62F7"/>
    <w:rsid w:val="00ED6371"/>
    <w:rsid w:val="00EF6556"/>
    <w:rsid w:val="00EF7236"/>
    <w:rsid w:val="00F01A22"/>
    <w:rsid w:val="00F1046E"/>
    <w:rsid w:val="00F10A6E"/>
    <w:rsid w:val="00F16DB0"/>
    <w:rsid w:val="00F219E7"/>
    <w:rsid w:val="00F23DCB"/>
    <w:rsid w:val="00F245EA"/>
    <w:rsid w:val="00F265BA"/>
    <w:rsid w:val="00F27BBD"/>
    <w:rsid w:val="00F27F71"/>
    <w:rsid w:val="00F30178"/>
    <w:rsid w:val="00F34721"/>
    <w:rsid w:val="00F36D9C"/>
    <w:rsid w:val="00F429C2"/>
    <w:rsid w:val="00F441F5"/>
    <w:rsid w:val="00F47972"/>
    <w:rsid w:val="00F51995"/>
    <w:rsid w:val="00F546D2"/>
    <w:rsid w:val="00F65115"/>
    <w:rsid w:val="00F664CB"/>
    <w:rsid w:val="00F7344B"/>
    <w:rsid w:val="00F742C4"/>
    <w:rsid w:val="00F74553"/>
    <w:rsid w:val="00F853F5"/>
    <w:rsid w:val="00F8575A"/>
    <w:rsid w:val="00F86DBB"/>
    <w:rsid w:val="00F87472"/>
    <w:rsid w:val="00FA752C"/>
    <w:rsid w:val="00FB27E5"/>
    <w:rsid w:val="00FB41B4"/>
    <w:rsid w:val="00FC0CA8"/>
    <w:rsid w:val="00FC4157"/>
    <w:rsid w:val="00FD79CE"/>
    <w:rsid w:val="00FE1FBF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387C298A-DD03-4E37-9FE0-0ED44864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76663"/>
  </w:style>
  <w:style w:type="paragraph" w:customStyle="1" w:styleId="CharCharCharCharChar7">
    <w:name w:val="Char Char Char Char Char"/>
    <w:basedOn w:val="Normal"/>
    <w:rsid w:val="00AA718A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0">
    <w:name w:val="Char Char Char Char Char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0">
    <w:name w:val="Char Char Char Char Char4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0">
    <w:name w:val="Char Char Char Char Char5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0">
    <w:name w:val="Char Char Char Char Char6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70">
    <w:name w:val="Char Char Char Char Char7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4" ma:contentTypeDescription="Create a new document." ma:contentTypeScope="" ma:versionID="c30028a5bd787090a5009c93416c761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c455b3bb99be73d9fd4fb62c6d1c4955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C82A8-55B6-4889-8DC0-8538D24D9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B8BD7F-B948-4DE3-8C23-2F7EDE8AFC15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4.xml><?xml version="1.0" encoding="utf-8"?>
<ds:datastoreItem xmlns:ds="http://schemas.openxmlformats.org/officeDocument/2006/customXml" ds:itemID="{F0751DA0-7A7E-485F-A1AA-3D9FF6C3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jackiema</dc:creator>
  <cp:keywords/>
  <cp:lastModifiedBy>Jackie MacKenzie (HLH Corporate Services)</cp:lastModifiedBy>
  <cp:revision>238</cp:revision>
  <cp:lastPrinted>2023-09-28T21:58:00Z</cp:lastPrinted>
  <dcterms:created xsi:type="dcterms:W3CDTF">2020-12-17T05:20:00Z</dcterms:created>
  <dcterms:modified xsi:type="dcterms:W3CDTF">2023-11-20T10:16:00Z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0x01010075AB708E42E7E345B8456CCFC18D9783</vt:lpwstr>
  </property>
  <property fmtid="{D5CDD505-2E9C-101B-9397-08002B2CF9AE}" pid="10" name="MediaServiceImageTags">
    <vt:lpwstr/>
  </property>
</Properties>
</file>