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204"/>
        <w:gridCol w:w="3260"/>
      </w:tblGrid>
      <w:tr w:rsidR="00A07AD3" w:rsidRPr="0089449E" w14:paraId="04188835" w14:textId="77777777" w:rsidTr="00A07AD3">
        <w:trPr>
          <w:cantSplit/>
          <w:trHeight w:val="709"/>
        </w:trPr>
        <w:tc>
          <w:tcPr>
            <w:tcW w:w="9464" w:type="dxa"/>
            <w:gridSpan w:val="2"/>
          </w:tcPr>
          <w:p w14:paraId="0FD5472F" w14:textId="5A9801CE" w:rsidR="00A07AD3" w:rsidRPr="00A07AD3" w:rsidRDefault="00A07AD3" w:rsidP="00472040"/>
        </w:tc>
      </w:tr>
      <w:tr w:rsidR="00B84929" w:rsidRPr="0089449E" w14:paraId="5CE8DE47" w14:textId="77777777" w:rsidTr="00B76551">
        <w:trPr>
          <w:cantSplit/>
          <w:trHeight w:val="993"/>
        </w:trPr>
        <w:tc>
          <w:tcPr>
            <w:tcW w:w="6204" w:type="dxa"/>
          </w:tcPr>
          <w:p w14:paraId="117D4F57" w14:textId="77777777" w:rsidR="00DE1E6C" w:rsidRPr="0089449E" w:rsidRDefault="00B84929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t xml:space="preserve">HIGH LIFE HIGHLAND </w:t>
            </w:r>
          </w:p>
          <w:p w14:paraId="0F596DC3" w14:textId="77777777" w:rsidR="002B7DC4" w:rsidRPr="0089449E" w:rsidRDefault="00DE1E6C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t>REPORT TO BOARD OF DIRECTORS</w:t>
            </w:r>
          </w:p>
          <w:p w14:paraId="74D48B4F" w14:textId="26CA5DCD" w:rsidR="002B7DC4" w:rsidRPr="0089449E" w:rsidRDefault="00B039B4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D0792B">
              <w:rPr>
                <w:rFonts w:ascii="Arial" w:hAnsi="Arial" w:cs="Arial"/>
                <w:szCs w:val="24"/>
              </w:rPr>
              <w:t>6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A441C3">
              <w:rPr>
                <w:rFonts w:ascii="Arial" w:hAnsi="Arial" w:cs="Arial"/>
                <w:szCs w:val="24"/>
              </w:rPr>
              <w:t>March 20</w:t>
            </w:r>
            <w:r w:rsidR="00465FA2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4</w:t>
            </w:r>
          </w:p>
          <w:p w14:paraId="18F13BC1" w14:textId="77777777" w:rsidR="00B84929" w:rsidRPr="0089449E" w:rsidRDefault="00B84929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fldChar w:fldCharType="begin"/>
            </w:r>
            <w:r w:rsidRPr="0089449E">
              <w:rPr>
                <w:rFonts w:ascii="Arial" w:hAnsi="Arial" w:cs="Arial"/>
                <w:szCs w:val="24"/>
              </w:rPr>
              <w:instrText xml:space="preserve">  </w:instrText>
            </w:r>
            <w:r w:rsidRPr="0089449E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260" w:type="dxa"/>
          </w:tcPr>
          <w:p w14:paraId="798E1DDF" w14:textId="3E12858F" w:rsidR="00C17981" w:rsidRDefault="00B0145D" w:rsidP="0047204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AGENDA ITEM</w:t>
            </w:r>
            <w:r w:rsidR="00A06FFD">
              <w:rPr>
                <w:rFonts w:ascii="Arial" w:hAnsi="Arial" w:cs="Arial"/>
                <w:szCs w:val="24"/>
              </w:rPr>
              <w:t xml:space="preserve"> </w:t>
            </w:r>
            <w:r w:rsidR="00A84EFA">
              <w:rPr>
                <w:rFonts w:ascii="Arial" w:hAnsi="Arial" w:cs="Arial"/>
                <w:szCs w:val="24"/>
              </w:rPr>
              <w:t xml:space="preserve"> </w:t>
            </w:r>
          </w:p>
          <w:p w14:paraId="5C1CEE25" w14:textId="5E1A0234" w:rsidR="00B84929" w:rsidRPr="0089449E" w:rsidRDefault="00B84929" w:rsidP="00F94420">
            <w:pPr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t>REPORT N</w:t>
            </w:r>
            <w:r w:rsidR="004A13CB">
              <w:rPr>
                <w:rFonts w:ascii="Arial" w:hAnsi="Arial" w:cs="Arial"/>
                <w:szCs w:val="24"/>
              </w:rPr>
              <w:t>o</w:t>
            </w:r>
            <w:r w:rsidR="001D5EE7">
              <w:rPr>
                <w:rFonts w:ascii="Arial" w:hAnsi="Arial" w:cs="Arial"/>
                <w:szCs w:val="24"/>
              </w:rPr>
              <w:t xml:space="preserve"> </w:t>
            </w:r>
            <w:r w:rsidR="00C17981">
              <w:rPr>
                <w:rFonts w:ascii="Arial" w:hAnsi="Arial" w:cs="Arial"/>
                <w:szCs w:val="24"/>
              </w:rPr>
              <w:t>HLH</w:t>
            </w:r>
            <w:r w:rsidR="00954DAA">
              <w:rPr>
                <w:rFonts w:ascii="Arial" w:hAnsi="Arial" w:cs="Arial"/>
                <w:szCs w:val="24"/>
              </w:rPr>
              <w:t xml:space="preserve">/ </w:t>
            </w:r>
            <w:r w:rsidR="00B039B4">
              <w:rPr>
                <w:rFonts w:ascii="Arial" w:hAnsi="Arial" w:cs="Arial"/>
                <w:szCs w:val="24"/>
              </w:rPr>
              <w:t xml:space="preserve">  </w:t>
            </w:r>
            <w:r w:rsidR="0087484E">
              <w:rPr>
                <w:rFonts w:ascii="Arial" w:hAnsi="Arial" w:cs="Arial"/>
                <w:szCs w:val="24"/>
              </w:rPr>
              <w:t xml:space="preserve"> </w:t>
            </w:r>
            <w:r w:rsidR="001D5EE7">
              <w:rPr>
                <w:rFonts w:ascii="Arial" w:hAnsi="Arial" w:cs="Arial"/>
                <w:szCs w:val="24"/>
              </w:rPr>
              <w:t>/</w:t>
            </w:r>
            <w:r w:rsidR="00465FA2">
              <w:rPr>
                <w:rFonts w:ascii="Arial" w:hAnsi="Arial" w:cs="Arial"/>
                <w:szCs w:val="24"/>
              </w:rPr>
              <w:t>2</w:t>
            </w:r>
            <w:r w:rsidR="00B039B4">
              <w:rPr>
                <w:rFonts w:ascii="Arial" w:hAnsi="Arial" w:cs="Arial"/>
                <w:szCs w:val="24"/>
              </w:rPr>
              <w:t>4</w:t>
            </w:r>
          </w:p>
        </w:tc>
      </w:tr>
    </w:tbl>
    <w:p w14:paraId="6CA425A7" w14:textId="18BCD251" w:rsidR="0039450A" w:rsidRPr="0089449E" w:rsidRDefault="00A95621" w:rsidP="00DE1E6C">
      <w:pPr>
        <w:pStyle w:val="Heading2"/>
        <w:rPr>
          <w:rFonts w:ascii="Arial" w:hAnsi="Arial" w:cs="Arial"/>
          <w:b/>
          <w:szCs w:val="24"/>
          <w:u w:val="none"/>
        </w:rPr>
      </w:pPr>
      <w:r>
        <w:rPr>
          <w:rFonts w:ascii="Arial" w:hAnsi="Arial" w:cs="Arial"/>
          <w:b/>
          <w:szCs w:val="24"/>
          <w:u w:val="none"/>
        </w:rPr>
        <w:t>202</w:t>
      </w:r>
      <w:r w:rsidR="00B039B4">
        <w:rPr>
          <w:rFonts w:ascii="Arial" w:hAnsi="Arial" w:cs="Arial"/>
          <w:b/>
          <w:szCs w:val="24"/>
          <w:u w:val="none"/>
        </w:rPr>
        <w:t>4</w:t>
      </w:r>
      <w:r>
        <w:rPr>
          <w:rFonts w:ascii="Arial" w:hAnsi="Arial" w:cs="Arial"/>
          <w:b/>
          <w:szCs w:val="24"/>
          <w:u w:val="none"/>
        </w:rPr>
        <w:t>/2</w:t>
      </w:r>
      <w:r w:rsidR="00B039B4">
        <w:rPr>
          <w:rFonts w:ascii="Arial" w:hAnsi="Arial" w:cs="Arial"/>
          <w:b/>
          <w:szCs w:val="24"/>
          <w:u w:val="none"/>
        </w:rPr>
        <w:t>5</w:t>
      </w:r>
      <w:r w:rsidR="00F149C2">
        <w:rPr>
          <w:rFonts w:ascii="Arial" w:hAnsi="Arial" w:cs="Arial"/>
          <w:b/>
          <w:szCs w:val="24"/>
          <w:u w:val="none"/>
        </w:rPr>
        <w:t xml:space="preserve"> BUDGET APPROVAL</w:t>
      </w:r>
      <w:r w:rsidR="0067745D" w:rsidRPr="0089449E">
        <w:rPr>
          <w:rFonts w:ascii="Arial" w:hAnsi="Arial" w:cs="Arial"/>
          <w:b/>
          <w:szCs w:val="24"/>
          <w:u w:val="none"/>
        </w:rPr>
        <w:t xml:space="preserve"> -</w:t>
      </w:r>
      <w:r w:rsidR="00DE1E6C" w:rsidRPr="0089449E">
        <w:rPr>
          <w:rFonts w:ascii="Arial" w:hAnsi="Arial" w:cs="Arial"/>
          <w:b/>
          <w:szCs w:val="24"/>
          <w:u w:val="none"/>
        </w:rPr>
        <w:t xml:space="preserve">   </w:t>
      </w:r>
      <w:r w:rsidR="0039450A" w:rsidRPr="0089449E">
        <w:rPr>
          <w:rFonts w:ascii="Arial" w:hAnsi="Arial" w:cs="Arial"/>
          <w:b/>
          <w:szCs w:val="24"/>
          <w:u w:val="none"/>
        </w:rPr>
        <w:t xml:space="preserve">Report </w:t>
      </w:r>
      <w:r w:rsidR="00A8159A" w:rsidRPr="0089449E">
        <w:rPr>
          <w:rFonts w:ascii="Arial" w:hAnsi="Arial" w:cs="Arial"/>
          <w:b/>
          <w:szCs w:val="24"/>
          <w:u w:val="none"/>
        </w:rPr>
        <w:t>by</w:t>
      </w:r>
      <w:r w:rsidR="002B7DC4" w:rsidRPr="0089449E">
        <w:rPr>
          <w:rFonts w:ascii="Arial" w:hAnsi="Arial" w:cs="Arial"/>
          <w:b/>
          <w:szCs w:val="24"/>
          <w:u w:val="none"/>
        </w:rPr>
        <w:t xml:space="preserve"> Chief Executive</w:t>
      </w:r>
    </w:p>
    <w:p w14:paraId="70456C07" w14:textId="77777777" w:rsidR="0039450A" w:rsidRPr="0089449E" w:rsidRDefault="0039450A" w:rsidP="00DE3803">
      <w:pPr>
        <w:pStyle w:val="Heading1"/>
        <w:jc w:val="left"/>
        <w:rPr>
          <w:rFonts w:ascii="Arial" w:hAnsi="Arial" w:cs="Arial"/>
          <w:szCs w:val="24"/>
        </w:rPr>
      </w:pPr>
      <w:r w:rsidRPr="0089449E">
        <w:rPr>
          <w:rFonts w:ascii="Arial" w:hAnsi="Arial" w:cs="Arial"/>
          <w:szCs w:val="24"/>
        </w:rPr>
        <w:fldChar w:fldCharType="begin"/>
      </w:r>
      <w:r w:rsidRPr="0089449E">
        <w:rPr>
          <w:rFonts w:ascii="Arial" w:hAnsi="Arial" w:cs="Arial"/>
          <w:szCs w:val="24"/>
        </w:rPr>
        <w:instrText xml:space="preserve">  </w:instrText>
      </w:r>
      <w:r w:rsidRPr="0089449E">
        <w:rPr>
          <w:rFonts w:ascii="Arial" w:hAnsi="Arial" w:cs="Arial"/>
          <w:szCs w:val="24"/>
        </w:rPr>
        <w:fldChar w:fldCharType="end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39450A" w:rsidRPr="0089449E" w14:paraId="5A9139F6" w14:textId="77777777">
        <w:trPr>
          <w:cantSplit/>
        </w:trPr>
        <w:tc>
          <w:tcPr>
            <w:tcW w:w="9464" w:type="dxa"/>
          </w:tcPr>
          <w:p w14:paraId="324E4C31" w14:textId="3019D5BC" w:rsidR="0039450A" w:rsidRPr="0089449E" w:rsidRDefault="008016C5" w:rsidP="00472040">
            <w:pPr>
              <w:pStyle w:val="Heading2"/>
              <w:jc w:val="both"/>
              <w:rPr>
                <w:rFonts w:ascii="Arial" w:hAnsi="Arial" w:cs="Arial"/>
                <w:b/>
                <w:szCs w:val="24"/>
                <w:u w:val="none"/>
              </w:rPr>
            </w:pPr>
            <w:r>
              <w:rPr>
                <w:rFonts w:ascii="Arial" w:hAnsi="Arial" w:cs="Arial"/>
                <w:b/>
                <w:szCs w:val="24"/>
                <w:u w:val="none"/>
              </w:rPr>
              <w:t>Recommendation</w:t>
            </w:r>
          </w:p>
          <w:p w14:paraId="00CDD330" w14:textId="77777777" w:rsidR="002B7DC4" w:rsidRPr="0089449E" w:rsidRDefault="002B7DC4" w:rsidP="00472040">
            <w:pPr>
              <w:jc w:val="both"/>
              <w:rPr>
                <w:rFonts w:ascii="Arial" w:hAnsi="Arial" w:cs="Arial"/>
              </w:rPr>
            </w:pPr>
          </w:p>
          <w:p w14:paraId="732B94AD" w14:textId="1767174E" w:rsidR="00351AA2" w:rsidRDefault="00351AA2" w:rsidP="004A4C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report provides Directors with a summary </w:t>
            </w:r>
            <w:r w:rsidR="00F94420">
              <w:rPr>
                <w:rFonts w:ascii="Arial" w:hAnsi="Arial" w:cs="Arial"/>
              </w:rPr>
              <w:t xml:space="preserve">of the operating budget for </w:t>
            </w:r>
            <w:r w:rsidR="00A95621">
              <w:rPr>
                <w:rFonts w:ascii="Arial" w:hAnsi="Arial" w:cs="Arial"/>
              </w:rPr>
              <w:t>202</w:t>
            </w:r>
            <w:r w:rsidR="00B039B4">
              <w:rPr>
                <w:rFonts w:ascii="Arial" w:hAnsi="Arial" w:cs="Arial"/>
              </w:rPr>
              <w:t>4</w:t>
            </w:r>
            <w:r w:rsidR="00A95621">
              <w:rPr>
                <w:rFonts w:ascii="Arial" w:hAnsi="Arial" w:cs="Arial"/>
              </w:rPr>
              <w:t>/2</w:t>
            </w:r>
            <w:r w:rsidR="00B039B4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, together with details of planned savings measures</w:t>
            </w:r>
            <w:r w:rsidR="006E2A4E">
              <w:rPr>
                <w:rFonts w:ascii="Arial" w:hAnsi="Arial" w:cs="Arial"/>
              </w:rPr>
              <w:t xml:space="preserve"> and pric</w:t>
            </w:r>
            <w:r w:rsidR="00063BC5">
              <w:rPr>
                <w:rFonts w:ascii="Arial" w:hAnsi="Arial" w:cs="Arial"/>
              </w:rPr>
              <w:t>e increases</w:t>
            </w:r>
            <w:r>
              <w:rPr>
                <w:rFonts w:ascii="Arial" w:hAnsi="Arial" w:cs="Arial"/>
              </w:rPr>
              <w:t>.</w:t>
            </w:r>
          </w:p>
          <w:p w14:paraId="69F3B28C" w14:textId="77777777" w:rsidR="00351AA2" w:rsidRDefault="00351AA2" w:rsidP="004A4C8C">
            <w:pPr>
              <w:ind w:left="780" w:hanging="283"/>
              <w:jc w:val="both"/>
              <w:rPr>
                <w:rFonts w:ascii="Arial" w:hAnsi="Arial" w:cs="Arial"/>
              </w:rPr>
            </w:pPr>
          </w:p>
          <w:p w14:paraId="15741F9B" w14:textId="158B462A" w:rsidR="005C3C7A" w:rsidRDefault="009042C4" w:rsidP="004A4C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recommended that Directors</w:t>
            </w:r>
            <w:r w:rsidR="005C3C7A">
              <w:rPr>
                <w:rFonts w:ascii="Arial" w:hAnsi="Arial" w:cs="Arial"/>
              </w:rPr>
              <w:t>:</w:t>
            </w:r>
          </w:p>
          <w:p w14:paraId="4D9480E1" w14:textId="77777777" w:rsidR="005C3C7A" w:rsidRDefault="005C3C7A" w:rsidP="004A4C8C">
            <w:pPr>
              <w:jc w:val="both"/>
              <w:rPr>
                <w:rFonts w:ascii="Arial" w:hAnsi="Arial" w:cs="Arial"/>
              </w:rPr>
            </w:pPr>
          </w:p>
          <w:p w14:paraId="0838590C" w14:textId="517685D8" w:rsidR="006136F6" w:rsidRPr="00505B52" w:rsidRDefault="006136F6" w:rsidP="006136F6">
            <w:pPr>
              <w:pStyle w:val="ListParagraph"/>
              <w:numPr>
                <w:ilvl w:val="0"/>
                <w:numId w:val="29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B52">
              <w:rPr>
                <w:rFonts w:ascii="Arial" w:hAnsi="Arial" w:cs="Arial"/>
                <w:sz w:val="24"/>
                <w:szCs w:val="24"/>
              </w:rPr>
              <w:t>approve the operating budget for 202</w:t>
            </w:r>
            <w:r w:rsidR="00B039B4" w:rsidRPr="00505B52">
              <w:rPr>
                <w:rFonts w:ascii="Arial" w:hAnsi="Arial" w:cs="Arial"/>
                <w:sz w:val="24"/>
                <w:szCs w:val="24"/>
              </w:rPr>
              <w:t>4</w:t>
            </w:r>
            <w:r w:rsidRPr="00505B52">
              <w:rPr>
                <w:rFonts w:ascii="Arial" w:hAnsi="Arial" w:cs="Arial"/>
                <w:sz w:val="24"/>
                <w:szCs w:val="24"/>
              </w:rPr>
              <w:t>/2</w:t>
            </w:r>
            <w:r w:rsidR="00B039B4" w:rsidRPr="00505B52">
              <w:rPr>
                <w:rFonts w:ascii="Arial" w:hAnsi="Arial" w:cs="Arial"/>
                <w:sz w:val="24"/>
                <w:szCs w:val="24"/>
              </w:rPr>
              <w:t>5</w:t>
            </w:r>
            <w:r w:rsidRPr="00505B52">
              <w:rPr>
                <w:rFonts w:ascii="Arial" w:hAnsi="Arial" w:cs="Arial"/>
                <w:sz w:val="24"/>
                <w:szCs w:val="24"/>
              </w:rPr>
              <w:t xml:space="preserve"> as summarised in </w:t>
            </w:r>
            <w:hyperlink r:id="rId11" w:history="1">
              <w:r w:rsidRPr="001538E1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Appendix A</w:t>
              </w:r>
            </w:hyperlink>
            <w:r w:rsidR="00935F9C" w:rsidRPr="00505B5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B6A8476" w14:textId="2D98AED8" w:rsidR="00D67C23" w:rsidRPr="00505B52" w:rsidRDefault="006136F6" w:rsidP="00487390">
            <w:pPr>
              <w:pStyle w:val="ListParagraph"/>
              <w:numPr>
                <w:ilvl w:val="0"/>
                <w:numId w:val="29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B52">
              <w:rPr>
                <w:rFonts w:ascii="Arial" w:hAnsi="Arial" w:cs="Arial"/>
                <w:sz w:val="24"/>
                <w:szCs w:val="24"/>
              </w:rPr>
              <w:t>note the</w:t>
            </w:r>
            <w:r w:rsidR="00FB3418" w:rsidRPr="00505B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0FC7" w:rsidRPr="00505B52">
              <w:rPr>
                <w:rFonts w:ascii="Arial" w:hAnsi="Arial" w:cs="Arial"/>
                <w:sz w:val="24"/>
                <w:szCs w:val="24"/>
              </w:rPr>
              <w:t xml:space="preserve">net pressure </w:t>
            </w:r>
            <w:r w:rsidR="00FB65BB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BB3091" w:rsidRPr="00505B52">
              <w:rPr>
                <w:rFonts w:ascii="Arial" w:hAnsi="Arial" w:cs="Arial"/>
                <w:sz w:val="24"/>
                <w:szCs w:val="24"/>
              </w:rPr>
              <w:t>£</w:t>
            </w:r>
            <w:r w:rsidR="00CF0BFC" w:rsidRPr="00505B52">
              <w:rPr>
                <w:rFonts w:ascii="Arial" w:hAnsi="Arial" w:cs="Arial"/>
                <w:sz w:val="24"/>
                <w:szCs w:val="24"/>
              </w:rPr>
              <w:t>2.</w:t>
            </w:r>
            <w:r w:rsidR="00DF7C5A" w:rsidRPr="00505B52">
              <w:rPr>
                <w:rFonts w:ascii="Arial" w:hAnsi="Arial" w:cs="Arial"/>
                <w:sz w:val="24"/>
                <w:szCs w:val="24"/>
              </w:rPr>
              <w:t>764</w:t>
            </w:r>
            <w:r w:rsidR="00BB3091" w:rsidRPr="00505B52">
              <w:rPr>
                <w:rFonts w:ascii="Arial" w:hAnsi="Arial" w:cs="Arial"/>
                <w:sz w:val="24"/>
                <w:szCs w:val="24"/>
              </w:rPr>
              <w:t xml:space="preserve">m </w:t>
            </w:r>
            <w:r w:rsidR="00815D68" w:rsidRPr="00505B52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505B52">
              <w:rPr>
                <w:rFonts w:ascii="Arial" w:hAnsi="Arial" w:cs="Arial"/>
                <w:sz w:val="24"/>
                <w:szCs w:val="24"/>
              </w:rPr>
              <w:t xml:space="preserve">The Highland Council’s </w:t>
            </w:r>
            <w:r w:rsidR="00E76930" w:rsidRPr="00505B52">
              <w:rPr>
                <w:rFonts w:ascii="Arial" w:hAnsi="Arial" w:cs="Arial"/>
                <w:sz w:val="24"/>
                <w:szCs w:val="24"/>
              </w:rPr>
              <w:t>proposed financial support</w:t>
            </w:r>
            <w:r w:rsidR="00116A38" w:rsidRPr="00505B52">
              <w:rPr>
                <w:rFonts w:ascii="Arial" w:hAnsi="Arial" w:cs="Arial"/>
                <w:sz w:val="24"/>
                <w:szCs w:val="24"/>
              </w:rPr>
              <w:t xml:space="preserve"> of £2.7</w:t>
            </w:r>
            <w:r w:rsidR="00896F98">
              <w:rPr>
                <w:rFonts w:ascii="Arial" w:hAnsi="Arial" w:cs="Arial"/>
                <w:sz w:val="24"/>
                <w:szCs w:val="24"/>
              </w:rPr>
              <w:t>64</w:t>
            </w:r>
            <w:r w:rsidR="00116A38" w:rsidRPr="00505B52">
              <w:rPr>
                <w:rFonts w:ascii="Arial" w:hAnsi="Arial" w:cs="Arial"/>
                <w:sz w:val="24"/>
                <w:szCs w:val="24"/>
              </w:rPr>
              <w:t xml:space="preserve">m plus £573k funding for the 2024/25 pay </w:t>
            </w:r>
            <w:proofErr w:type="gramStart"/>
            <w:r w:rsidR="00116A38" w:rsidRPr="00505B52">
              <w:rPr>
                <w:rFonts w:ascii="Arial" w:hAnsi="Arial" w:cs="Arial"/>
                <w:sz w:val="24"/>
                <w:szCs w:val="24"/>
              </w:rPr>
              <w:t>award</w:t>
            </w:r>
            <w:r w:rsidRPr="00505B52">
              <w:rPr>
                <w:rFonts w:ascii="Arial" w:eastAsia="Times New Roman" w:hAnsi="Arial" w:cs="Arial"/>
                <w:sz w:val="24"/>
                <w:szCs w:val="24"/>
              </w:rPr>
              <w:t>;</w:t>
            </w:r>
            <w:proofErr w:type="gramEnd"/>
          </w:p>
          <w:p w14:paraId="74BCDD00" w14:textId="14F2C60A" w:rsidR="006136F6" w:rsidRPr="00505B52" w:rsidRDefault="00D67C23" w:rsidP="00487390">
            <w:pPr>
              <w:pStyle w:val="ListParagraph"/>
              <w:numPr>
                <w:ilvl w:val="0"/>
                <w:numId w:val="29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B52">
              <w:rPr>
                <w:rFonts w:ascii="Arial" w:eastAsia="Times New Roman" w:hAnsi="Arial" w:cs="Arial"/>
                <w:sz w:val="24"/>
                <w:szCs w:val="24"/>
              </w:rPr>
              <w:t xml:space="preserve">agree to the </w:t>
            </w:r>
            <w:r w:rsidR="00AD5710" w:rsidRPr="00505B52">
              <w:rPr>
                <w:rFonts w:ascii="Arial" w:eastAsia="Times New Roman" w:hAnsi="Arial" w:cs="Arial"/>
                <w:sz w:val="24"/>
                <w:szCs w:val="24"/>
              </w:rPr>
              <w:t xml:space="preserve">income and </w:t>
            </w:r>
            <w:r w:rsidR="00E76930" w:rsidRPr="00505B52">
              <w:rPr>
                <w:rFonts w:ascii="Arial" w:eastAsia="Times New Roman" w:hAnsi="Arial" w:cs="Arial"/>
                <w:sz w:val="24"/>
                <w:szCs w:val="24"/>
              </w:rPr>
              <w:t>efficiencies</w:t>
            </w:r>
            <w:r w:rsidR="00D45492" w:rsidRPr="00505B52">
              <w:rPr>
                <w:rFonts w:ascii="Arial" w:eastAsia="Times New Roman" w:hAnsi="Arial" w:cs="Arial"/>
                <w:sz w:val="24"/>
                <w:szCs w:val="24"/>
              </w:rPr>
              <w:t xml:space="preserve"> a</w:t>
            </w:r>
            <w:r w:rsidRPr="00505B52">
              <w:rPr>
                <w:rFonts w:ascii="Arial" w:eastAsia="Times New Roman" w:hAnsi="Arial" w:cs="Arial"/>
                <w:sz w:val="24"/>
                <w:szCs w:val="24"/>
              </w:rPr>
              <w:t xml:space="preserve">t </w:t>
            </w:r>
            <w:hyperlink r:id="rId12" w:history="1">
              <w:r w:rsidRPr="00AD59BC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</w:rPr>
                <w:t>Appendix B</w:t>
              </w:r>
            </w:hyperlink>
            <w:r w:rsidRPr="00505B52">
              <w:rPr>
                <w:rFonts w:ascii="Arial" w:eastAsia="Times New Roman" w:hAnsi="Arial" w:cs="Arial"/>
                <w:sz w:val="24"/>
                <w:szCs w:val="24"/>
              </w:rPr>
              <w:t>;</w:t>
            </w:r>
            <w:r w:rsidR="00FB3418" w:rsidRPr="00505B52">
              <w:rPr>
                <w:rFonts w:ascii="Arial" w:eastAsia="Times New Roman" w:hAnsi="Arial" w:cs="Arial"/>
                <w:sz w:val="24"/>
                <w:szCs w:val="24"/>
              </w:rPr>
              <w:t xml:space="preserve"> and</w:t>
            </w:r>
            <w:r w:rsidR="006136F6" w:rsidRPr="00505B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8D1FAD9" w14:textId="31B750C8" w:rsidR="00351AA2" w:rsidRPr="009042C4" w:rsidRDefault="006136F6" w:rsidP="00FB3418">
            <w:pPr>
              <w:pStyle w:val="ListParagraph"/>
              <w:numPr>
                <w:ilvl w:val="0"/>
                <w:numId w:val="29"/>
              </w:numPr>
              <w:spacing w:line="240" w:lineRule="auto"/>
              <w:jc w:val="both"/>
              <w:rPr>
                <w:rFonts w:ascii="Arial" w:hAnsi="Arial" w:cs="Arial"/>
                <w:szCs w:val="24"/>
              </w:rPr>
            </w:pPr>
            <w:r w:rsidRPr="00FB3418">
              <w:rPr>
                <w:rFonts w:ascii="Arial" w:hAnsi="Arial" w:cs="Arial"/>
                <w:sz w:val="24"/>
                <w:szCs w:val="24"/>
              </w:rPr>
              <w:t>a</w:t>
            </w:r>
            <w:r w:rsidR="00B51CA0">
              <w:rPr>
                <w:rFonts w:ascii="Arial" w:hAnsi="Arial" w:cs="Arial"/>
                <w:sz w:val="24"/>
                <w:szCs w:val="24"/>
              </w:rPr>
              <w:t>pprove</w:t>
            </w:r>
            <w:r w:rsidR="00715529" w:rsidRPr="00505B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5B52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715529" w:rsidRPr="00505B52">
              <w:rPr>
                <w:rFonts w:ascii="Arial" w:hAnsi="Arial" w:cs="Arial"/>
                <w:sz w:val="24"/>
                <w:szCs w:val="24"/>
              </w:rPr>
              <w:t xml:space="preserve">recommended </w:t>
            </w:r>
            <w:r w:rsidRPr="00505B52">
              <w:rPr>
                <w:rFonts w:ascii="Arial" w:hAnsi="Arial" w:cs="Arial"/>
                <w:sz w:val="24"/>
                <w:szCs w:val="24"/>
              </w:rPr>
              <w:t>price increases</w:t>
            </w:r>
            <w:r w:rsidR="00FB3418" w:rsidRPr="00505B52">
              <w:rPr>
                <w:rFonts w:ascii="Arial" w:hAnsi="Arial" w:cs="Arial"/>
                <w:sz w:val="24"/>
                <w:szCs w:val="24"/>
              </w:rPr>
              <w:t xml:space="preserve"> in Section </w:t>
            </w:r>
            <w:r w:rsidR="00BB3091" w:rsidRPr="00505B52">
              <w:rPr>
                <w:rFonts w:ascii="Arial" w:hAnsi="Arial" w:cs="Arial"/>
                <w:sz w:val="24"/>
                <w:szCs w:val="24"/>
              </w:rPr>
              <w:t>4</w:t>
            </w:r>
            <w:r w:rsidR="00FB3418" w:rsidRPr="00505B52">
              <w:rPr>
                <w:rFonts w:ascii="Arial" w:hAnsi="Arial" w:cs="Arial"/>
                <w:sz w:val="24"/>
                <w:szCs w:val="24"/>
              </w:rPr>
              <w:t xml:space="preserve"> of the report.</w:t>
            </w:r>
          </w:p>
        </w:tc>
      </w:tr>
    </w:tbl>
    <w:p w14:paraId="1069781F" w14:textId="77777777" w:rsidR="0097099E" w:rsidRPr="0089449E" w:rsidRDefault="0097099E" w:rsidP="00472040">
      <w:pPr>
        <w:jc w:val="both"/>
        <w:rPr>
          <w:rFonts w:ascii="Arial" w:hAnsi="Arial" w:cs="Arial"/>
          <w:szCs w:val="24"/>
        </w:rPr>
      </w:pPr>
    </w:p>
    <w:tbl>
      <w:tblPr>
        <w:tblW w:w="9214" w:type="dxa"/>
        <w:tblLook w:val="0000" w:firstRow="0" w:lastRow="0" w:firstColumn="0" w:lastColumn="0" w:noHBand="0" w:noVBand="0"/>
      </w:tblPr>
      <w:tblGrid>
        <w:gridCol w:w="817"/>
        <w:gridCol w:w="8397"/>
      </w:tblGrid>
      <w:tr w:rsidR="00A53534" w:rsidRPr="0089449E" w14:paraId="27F4BCA4" w14:textId="77777777" w:rsidTr="00017428">
        <w:tc>
          <w:tcPr>
            <w:tcW w:w="817" w:type="dxa"/>
          </w:tcPr>
          <w:p w14:paraId="39320A5D" w14:textId="77777777" w:rsidR="00A53534" w:rsidRPr="0089449E" w:rsidRDefault="008B4D54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  <w:r w:rsidR="00A53534" w:rsidRPr="0089449E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397" w:type="dxa"/>
          </w:tcPr>
          <w:p w14:paraId="4FC4681A" w14:textId="77777777" w:rsidR="00A53534" w:rsidRPr="0089449E" w:rsidRDefault="00A53534" w:rsidP="00472040">
            <w:pPr>
              <w:jc w:val="both"/>
              <w:rPr>
                <w:rFonts w:ascii="Arial" w:hAnsi="Arial" w:cs="Arial"/>
                <w:b/>
              </w:rPr>
            </w:pPr>
            <w:r w:rsidRPr="0089449E">
              <w:rPr>
                <w:rFonts w:ascii="Arial" w:hAnsi="Arial" w:cs="Arial"/>
                <w:b/>
              </w:rPr>
              <w:t>Business Plan Contribution</w:t>
            </w:r>
          </w:p>
          <w:p w14:paraId="3CDA90E0" w14:textId="77777777" w:rsidR="00A53534" w:rsidRPr="0089449E" w:rsidRDefault="00A53534" w:rsidP="00472040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53534" w:rsidRPr="0089449E" w14:paraId="1A2D1C4B" w14:textId="77777777" w:rsidTr="00017428">
        <w:tc>
          <w:tcPr>
            <w:tcW w:w="817" w:type="dxa"/>
          </w:tcPr>
          <w:p w14:paraId="72F59C31" w14:textId="77777777" w:rsidR="00A53534" w:rsidRPr="007161EF" w:rsidRDefault="008B4D54" w:rsidP="0047204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A53534" w:rsidRPr="007161EF">
              <w:rPr>
                <w:rFonts w:ascii="Arial" w:hAnsi="Arial" w:cs="Arial"/>
                <w:szCs w:val="24"/>
              </w:rPr>
              <w:t>.1</w:t>
            </w:r>
          </w:p>
        </w:tc>
        <w:tc>
          <w:tcPr>
            <w:tcW w:w="8397" w:type="dxa"/>
          </w:tcPr>
          <w:p w14:paraId="34D192EF" w14:textId="538BC33B" w:rsidR="00E21E9A" w:rsidRDefault="00E21E9A" w:rsidP="00E21E9A">
            <w:pPr>
              <w:ind w:right="-104"/>
              <w:contextualSpacing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High Life Highland’s (HLH) purpose is Making Life Better.  The HLH Business Plan contains eleven Business Outcomes which support the delivery of this purpose, and this report supports </w:t>
            </w:r>
            <w:proofErr w:type="gramStart"/>
            <w:r>
              <w:rPr>
                <w:rFonts w:ascii="Arial" w:hAnsi="Arial" w:cs="Arial"/>
                <w:szCs w:val="24"/>
              </w:rPr>
              <w:t>all of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the outcomes </w:t>
            </w:r>
            <w:r w:rsidR="0057320F">
              <w:rPr>
                <w:rFonts w:ascii="Arial" w:hAnsi="Arial" w:cs="Arial"/>
                <w:szCs w:val="24"/>
              </w:rPr>
              <w:t>in the Business Plan</w:t>
            </w:r>
            <w:r>
              <w:rPr>
                <w:rFonts w:ascii="Arial" w:hAnsi="Arial" w:cs="Arial"/>
                <w:szCs w:val="24"/>
              </w:rPr>
              <w:t>:</w:t>
            </w:r>
          </w:p>
          <w:p w14:paraId="7136CF86" w14:textId="77777777" w:rsidR="00B0145D" w:rsidRPr="00B0145D" w:rsidRDefault="00B0145D" w:rsidP="00B0145D">
            <w:pPr>
              <w:jc w:val="both"/>
              <w:rPr>
                <w:rFonts w:ascii="Arial" w:hAnsi="Arial" w:cs="Arial"/>
              </w:rPr>
            </w:pPr>
          </w:p>
          <w:p w14:paraId="7E2229CE" w14:textId="77777777" w:rsidR="00883ECA" w:rsidRPr="00883ECA" w:rsidRDefault="00883ECA" w:rsidP="00883EC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3ECA">
              <w:rPr>
                <w:rFonts w:ascii="Arial" w:hAnsi="Arial" w:cs="Arial"/>
                <w:b/>
                <w:bCs/>
                <w:sz w:val="24"/>
                <w:szCs w:val="24"/>
              </w:rPr>
              <w:t>Seek to continuously improve standards of health and safety.</w:t>
            </w:r>
          </w:p>
          <w:p w14:paraId="7FAAB4AD" w14:textId="77777777" w:rsidR="00883ECA" w:rsidRPr="00883ECA" w:rsidRDefault="00883ECA" w:rsidP="00883EC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3ECA">
              <w:rPr>
                <w:rFonts w:ascii="Arial" w:hAnsi="Arial" w:cs="Arial"/>
                <w:b/>
                <w:bCs/>
                <w:sz w:val="24"/>
                <w:szCs w:val="24"/>
              </w:rPr>
              <w:t>Commit to the Scottish Government’s zero carbon targets and maintain the highest standards in environmental compliance.</w:t>
            </w:r>
          </w:p>
          <w:p w14:paraId="52E23FF7" w14:textId="77777777" w:rsidR="00883ECA" w:rsidRPr="00883ECA" w:rsidRDefault="00883ECA" w:rsidP="00883EC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3ECA">
              <w:rPr>
                <w:rFonts w:ascii="Arial" w:hAnsi="Arial" w:cs="Arial"/>
                <w:b/>
                <w:bCs/>
                <w:sz w:val="24"/>
                <w:szCs w:val="24"/>
              </w:rPr>
              <w:t>Use research and market analysis to develop and improve services to meet customer needs.</w:t>
            </w:r>
          </w:p>
          <w:p w14:paraId="4CBCCEF5" w14:textId="77777777" w:rsidR="00883ECA" w:rsidRPr="00883ECA" w:rsidRDefault="00883ECA" w:rsidP="00883EC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3E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Increase employee satisfaction, </w:t>
            </w:r>
            <w:proofErr w:type="gramStart"/>
            <w:r w:rsidRPr="00883ECA">
              <w:rPr>
                <w:rFonts w:ascii="Arial" w:hAnsi="Arial" w:cs="Arial"/>
                <w:b/>
                <w:bCs/>
                <w:sz w:val="24"/>
                <w:szCs w:val="24"/>
              </w:rPr>
              <w:t>engagement</w:t>
            </w:r>
            <w:proofErr w:type="gramEnd"/>
            <w:r w:rsidRPr="00883E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development to improve staff recruitment and retention.</w:t>
            </w:r>
          </w:p>
          <w:p w14:paraId="025C59E2" w14:textId="77777777" w:rsidR="00883ECA" w:rsidRPr="00883ECA" w:rsidRDefault="00883ECA" w:rsidP="00883EC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3ECA">
              <w:rPr>
                <w:rFonts w:ascii="Arial" w:hAnsi="Arial" w:cs="Arial"/>
                <w:b/>
                <w:bCs/>
                <w:sz w:val="24"/>
                <w:szCs w:val="24"/>
              </w:rPr>
              <w:t>Improve the financial sustainability of the company.</w:t>
            </w:r>
          </w:p>
          <w:p w14:paraId="2BF0F484" w14:textId="77777777" w:rsidR="00883ECA" w:rsidRPr="00883ECA" w:rsidRDefault="00883ECA" w:rsidP="00883EC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3ECA">
              <w:rPr>
                <w:rFonts w:ascii="Arial" w:hAnsi="Arial" w:cs="Arial"/>
                <w:b/>
                <w:bCs/>
                <w:sz w:val="24"/>
                <w:szCs w:val="24"/>
              </w:rPr>
              <w:t>Value and strengthen the relationship with THC.</w:t>
            </w:r>
          </w:p>
          <w:p w14:paraId="55E13562" w14:textId="77777777" w:rsidR="00883ECA" w:rsidRPr="00883ECA" w:rsidRDefault="00883ECA" w:rsidP="00883EC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3ECA">
              <w:rPr>
                <w:rFonts w:ascii="Arial" w:hAnsi="Arial" w:cs="Arial"/>
                <w:b/>
                <w:bCs/>
                <w:sz w:val="24"/>
                <w:szCs w:val="24"/>
              </w:rPr>
              <w:t>Develop and deliver the HLH Corporate Programme and seek to attract capital investment.</w:t>
            </w:r>
          </w:p>
          <w:p w14:paraId="3BC9E1BE" w14:textId="77777777" w:rsidR="00883ECA" w:rsidRPr="00883ECA" w:rsidRDefault="00883ECA" w:rsidP="00883ECA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3ECA">
              <w:rPr>
                <w:rFonts w:ascii="Arial" w:hAnsi="Arial" w:cs="Arial"/>
                <w:b/>
                <w:bCs/>
                <w:sz w:val="24"/>
                <w:szCs w:val="24"/>
              </w:rPr>
              <w:t>Use research and market analysis to develop and deliver proactive marketing and promotion of HLH and its services.</w:t>
            </w:r>
          </w:p>
          <w:p w14:paraId="4AE61A80" w14:textId="77777777" w:rsidR="00883ECA" w:rsidRPr="00883ECA" w:rsidRDefault="00883ECA" w:rsidP="00883EC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3ECA">
              <w:rPr>
                <w:rFonts w:ascii="Arial" w:hAnsi="Arial" w:cs="Arial"/>
                <w:b/>
                <w:bCs/>
                <w:sz w:val="24"/>
                <w:szCs w:val="24"/>
              </w:rPr>
              <w:t>Initiate and implement an ICT digital transformation strategy across the charity.</w:t>
            </w:r>
          </w:p>
          <w:p w14:paraId="78939097" w14:textId="77777777" w:rsidR="00883ECA" w:rsidRPr="00883ECA" w:rsidRDefault="00883ECA" w:rsidP="00883EC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3E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Develop and strengthen relationships with customers, key </w:t>
            </w:r>
            <w:proofErr w:type="gramStart"/>
            <w:r w:rsidRPr="00883ECA">
              <w:rPr>
                <w:rFonts w:ascii="Arial" w:hAnsi="Arial" w:cs="Arial"/>
                <w:b/>
                <w:bCs/>
                <w:sz w:val="24"/>
                <w:szCs w:val="24"/>
              </w:rPr>
              <w:t>stakeholders</w:t>
            </w:r>
            <w:proofErr w:type="gramEnd"/>
            <w:r w:rsidRPr="00883E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partners.</w:t>
            </w:r>
          </w:p>
          <w:p w14:paraId="501EE6DE" w14:textId="551F377D" w:rsidR="00883ECA" w:rsidRDefault="00883ECA" w:rsidP="00883EC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3E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Deliver targeted programmes which support and enhance the physical and mental health and wellbeing of the </w:t>
            </w:r>
            <w:proofErr w:type="gramStart"/>
            <w:r w:rsidRPr="00883ECA">
              <w:rPr>
                <w:rFonts w:ascii="Arial" w:hAnsi="Arial" w:cs="Arial"/>
                <w:b/>
                <w:bCs/>
                <w:sz w:val="24"/>
                <w:szCs w:val="24"/>
              </w:rPr>
              <w:t>population</w:t>
            </w:r>
            <w:proofErr w:type="gramEnd"/>
            <w:r w:rsidRPr="00883E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which contribute to the prevention agenda.</w:t>
            </w:r>
          </w:p>
          <w:p w14:paraId="647C9355" w14:textId="03DEC709" w:rsidR="00A07AD3" w:rsidRPr="00AD4737" w:rsidRDefault="00A07AD3" w:rsidP="00A07AD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A53534" w:rsidRPr="0089449E" w14:paraId="7C7BB877" w14:textId="77777777" w:rsidTr="00017428">
        <w:tc>
          <w:tcPr>
            <w:tcW w:w="817" w:type="dxa"/>
          </w:tcPr>
          <w:p w14:paraId="6CD1D3F3" w14:textId="77777777" w:rsidR="00A53534" w:rsidRDefault="008B4D54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2.</w:t>
            </w:r>
          </w:p>
          <w:p w14:paraId="133E4818" w14:textId="77777777" w:rsidR="008016C5" w:rsidRDefault="008016C5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4FA318C0" w14:textId="5593975E" w:rsidR="008016C5" w:rsidRPr="008016C5" w:rsidRDefault="008016C5" w:rsidP="00472040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8016C5">
              <w:rPr>
                <w:rFonts w:ascii="Arial" w:hAnsi="Arial" w:cs="Arial"/>
                <w:bCs/>
                <w:szCs w:val="24"/>
              </w:rPr>
              <w:t>2.1</w:t>
            </w:r>
          </w:p>
        </w:tc>
        <w:tc>
          <w:tcPr>
            <w:tcW w:w="8397" w:type="dxa"/>
          </w:tcPr>
          <w:p w14:paraId="3EF95DBC" w14:textId="77777777" w:rsidR="008B4D54" w:rsidRPr="0097099E" w:rsidRDefault="008B4D54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97099E">
              <w:rPr>
                <w:rFonts w:ascii="Arial" w:hAnsi="Arial" w:cs="Arial"/>
                <w:b/>
                <w:szCs w:val="24"/>
              </w:rPr>
              <w:t>Background</w:t>
            </w:r>
          </w:p>
          <w:p w14:paraId="2F411EF8" w14:textId="77777777" w:rsidR="00A53534" w:rsidRDefault="00A53534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14:paraId="7E5875F3" w14:textId="0400C437" w:rsidR="008016C5" w:rsidRDefault="008016C5" w:rsidP="008016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2916">
              <w:rPr>
                <w:rFonts w:ascii="Arial" w:hAnsi="Arial" w:cs="Arial"/>
              </w:rPr>
              <w:t xml:space="preserve">This report </w:t>
            </w:r>
            <w:r>
              <w:rPr>
                <w:rFonts w:ascii="Arial" w:hAnsi="Arial" w:cs="Arial"/>
              </w:rPr>
              <w:t>confirms the detail of the Charity’s revenue budget for 202</w:t>
            </w:r>
            <w:r w:rsidR="00B039B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/2</w:t>
            </w:r>
            <w:r w:rsidR="00B039B4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and provides a summary of the savings measures required to be implemented.</w:t>
            </w:r>
          </w:p>
          <w:p w14:paraId="7F8DC2EB" w14:textId="1390A61B" w:rsidR="008016C5" w:rsidRPr="0089449E" w:rsidRDefault="008016C5" w:rsidP="00472040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4A13CB" w:rsidRPr="0089449E" w14:paraId="0841E57D" w14:textId="77777777" w:rsidTr="008016C5">
        <w:trPr>
          <w:trHeight w:val="1555"/>
        </w:trPr>
        <w:tc>
          <w:tcPr>
            <w:tcW w:w="817" w:type="dxa"/>
          </w:tcPr>
          <w:p w14:paraId="264B7C5A" w14:textId="723D068C" w:rsidR="00BA7FC1" w:rsidRPr="00950E0C" w:rsidRDefault="00BA7FC1" w:rsidP="004A13CB">
            <w:pPr>
              <w:jc w:val="both"/>
              <w:rPr>
                <w:rFonts w:ascii="Arial" w:hAnsi="Arial" w:cs="Arial"/>
                <w:szCs w:val="24"/>
              </w:rPr>
            </w:pPr>
            <w:r w:rsidRPr="00950E0C">
              <w:rPr>
                <w:rFonts w:ascii="Arial" w:hAnsi="Arial" w:cs="Arial"/>
                <w:szCs w:val="24"/>
              </w:rPr>
              <w:lastRenderedPageBreak/>
              <w:t>2.</w:t>
            </w:r>
            <w:r w:rsidR="00B07952">
              <w:rPr>
                <w:rFonts w:ascii="Arial" w:hAnsi="Arial" w:cs="Arial"/>
                <w:szCs w:val="24"/>
              </w:rPr>
              <w:t>2</w:t>
            </w:r>
          </w:p>
          <w:p w14:paraId="2512DCFA" w14:textId="5FB42B80" w:rsidR="007F5482" w:rsidRPr="00950E0C" w:rsidRDefault="007F5482" w:rsidP="004A13CB">
            <w:pPr>
              <w:jc w:val="both"/>
              <w:rPr>
                <w:rFonts w:ascii="Arial" w:hAnsi="Arial" w:cs="Arial"/>
                <w:szCs w:val="24"/>
              </w:rPr>
            </w:pPr>
          </w:p>
          <w:p w14:paraId="1DF5AEAF" w14:textId="753B399A" w:rsidR="007F5482" w:rsidRPr="00950E0C" w:rsidRDefault="007F5482" w:rsidP="004A13CB">
            <w:pPr>
              <w:jc w:val="both"/>
              <w:rPr>
                <w:rFonts w:ascii="Arial" w:hAnsi="Arial" w:cs="Arial"/>
                <w:szCs w:val="24"/>
              </w:rPr>
            </w:pPr>
          </w:p>
          <w:p w14:paraId="342B3FD5" w14:textId="4F0B416A" w:rsidR="007F5482" w:rsidRDefault="007F5482" w:rsidP="004A13CB">
            <w:pPr>
              <w:jc w:val="both"/>
              <w:rPr>
                <w:rFonts w:ascii="Arial" w:hAnsi="Arial" w:cs="Arial"/>
                <w:szCs w:val="24"/>
              </w:rPr>
            </w:pPr>
          </w:p>
          <w:p w14:paraId="48BF1270" w14:textId="77777777" w:rsidR="000B70B9" w:rsidRDefault="000B70B9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14:paraId="779644D5" w14:textId="77777777" w:rsidR="000B70B9" w:rsidRDefault="000B70B9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14:paraId="7B2D0C7A" w14:textId="77777777" w:rsidR="009C31B3" w:rsidRDefault="009C31B3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14:paraId="083465BD" w14:textId="77777777" w:rsidR="009C31B3" w:rsidRDefault="009C31B3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14:paraId="0F19FFB5" w14:textId="0A44B084" w:rsidR="00950E0C" w:rsidRDefault="00815D68" w:rsidP="0047204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950E0C" w:rsidRPr="00950E0C">
              <w:rPr>
                <w:rFonts w:ascii="Arial" w:hAnsi="Arial" w:cs="Arial"/>
                <w:szCs w:val="24"/>
              </w:rPr>
              <w:t>.</w:t>
            </w:r>
            <w:r w:rsidR="00A07AD3">
              <w:rPr>
                <w:rFonts w:ascii="Arial" w:hAnsi="Arial" w:cs="Arial"/>
                <w:szCs w:val="24"/>
              </w:rPr>
              <w:t>3</w:t>
            </w:r>
          </w:p>
          <w:p w14:paraId="2DFED8F4" w14:textId="77777777" w:rsidR="00854EC1" w:rsidRDefault="00854EC1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14:paraId="3B4A66C5" w14:textId="77777777" w:rsidR="00854EC1" w:rsidRDefault="00854EC1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14:paraId="5A0DAC89" w14:textId="77777777" w:rsidR="00854EC1" w:rsidRDefault="00854EC1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14:paraId="7A8891A3" w14:textId="77777777" w:rsidR="008016C5" w:rsidRDefault="008016C5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14:paraId="38EE5FEA" w14:textId="28FC0E43" w:rsidR="008016C5" w:rsidRPr="00950E0C" w:rsidRDefault="008016C5" w:rsidP="00472040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397" w:type="dxa"/>
          </w:tcPr>
          <w:p w14:paraId="79594959" w14:textId="1ED9BC7B" w:rsidR="00B07952" w:rsidRPr="00EE3A01" w:rsidRDefault="00B07952" w:rsidP="00314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EE3A01">
              <w:rPr>
                <w:rFonts w:ascii="Arial" w:hAnsi="Arial" w:cs="Arial"/>
                <w:szCs w:val="24"/>
              </w:rPr>
              <w:t>Following</w:t>
            </w:r>
            <w:r w:rsidR="000D5D71">
              <w:rPr>
                <w:rFonts w:ascii="Arial" w:hAnsi="Arial" w:cs="Arial"/>
                <w:szCs w:val="24"/>
              </w:rPr>
              <w:t xml:space="preserve"> </w:t>
            </w:r>
            <w:r w:rsidR="006B1A71">
              <w:rPr>
                <w:rFonts w:ascii="Arial" w:hAnsi="Arial" w:cs="Arial"/>
                <w:szCs w:val="24"/>
              </w:rPr>
              <w:t xml:space="preserve">discussions between </w:t>
            </w:r>
            <w:r w:rsidR="00F0207E">
              <w:rPr>
                <w:rFonts w:ascii="Arial" w:hAnsi="Arial" w:cs="Arial"/>
                <w:szCs w:val="24"/>
              </w:rPr>
              <w:t xml:space="preserve">senior officers of </w:t>
            </w:r>
            <w:r w:rsidR="006B1A71">
              <w:rPr>
                <w:rFonts w:ascii="Arial" w:hAnsi="Arial" w:cs="Arial"/>
                <w:szCs w:val="24"/>
              </w:rPr>
              <w:t>High Life Highland</w:t>
            </w:r>
            <w:r w:rsidR="00F0207E">
              <w:rPr>
                <w:rFonts w:ascii="Arial" w:hAnsi="Arial" w:cs="Arial"/>
                <w:szCs w:val="24"/>
              </w:rPr>
              <w:t xml:space="preserve"> and th</w:t>
            </w:r>
            <w:r w:rsidR="00D750D5">
              <w:rPr>
                <w:rFonts w:ascii="Arial" w:hAnsi="Arial" w:cs="Arial"/>
                <w:szCs w:val="24"/>
              </w:rPr>
              <w:t>e</w:t>
            </w:r>
            <w:r w:rsidR="00F0207E">
              <w:rPr>
                <w:rFonts w:ascii="Arial" w:hAnsi="Arial" w:cs="Arial"/>
                <w:szCs w:val="24"/>
              </w:rPr>
              <w:t xml:space="preserve"> Highland Council (THC), THC </w:t>
            </w:r>
            <w:r w:rsidR="000B31FF">
              <w:rPr>
                <w:rFonts w:ascii="Arial" w:hAnsi="Arial" w:cs="Arial"/>
                <w:szCs w:val="24"/>
              </w:rPr>
              <w:t>have agreed</w:t>
            </w:r>
            <w:r w:rsidR="003F1D67">
              <w:rPr>
                <w:rFonts w:ascii="Arial" w:hAnsi="Arial" w:cs="Arial"/>
                <w:szCs w:val="24"/>
              </w:rPr>
              <w:t xml:space="preserve"> to fund the 2024/25 pay award</w:t>
            </w:r>
            <w:r w:rsidR="00753744">
              <w:rPr>
                <w:rFonts w:ascii="Arial" w:hAnsi="Arial" w:cs="Arial"/>
                <w:szCs w:val="24"/>
              </w:rPr>
              <w:t xml:space="preserve"> in line with the </w:t>
            </w:r>
            <w:r w:rsidR="00CE0C7F">
              <w:rPr>
                <w:rFonts w:ascii="Arial" w:hAnsi="Arial" w:cs="Arial"/>
                <w:szCs w:val="24"/>
              </w:rPr>
              <w:t xml:space="preserve">pre </w:t>
            </w:r>
            <w:r w:rsidR="00A81777">
              <w:rPr>
                <w:rFonts w:ascii="Arial" w:hAnsi="Arial" w:cs="Arial"/>
                <w:szCs w:val="24"/>
              </w:rPr>
              <w:t xml:space="preserve">2017 </w:t>
            </w:r>
            <w:r w:rsidR="00392F90">
              <w:rPr>
                <w:rFonts w:ascii="Arial" w:hAnsi="Arial" w:cs="Arial"/>
                <w:szCs w:val="24"/>
              </w:rPr>
              <w:t>contractual arrangement.</w:t>
            </w:r>
            <w:r w:rsidR="00A81777">
              <w:rPr>
                <w:rFonts w:ascii="Arial" w:hAnsi="Arial" w:cs="Arial"/>
                <w:szCs w:val="24"/>
              </w:rPr>
              <w:t xml:space="preserve">  This increases the Service Fee by £573k </w:t>
            </w:r>
            <w:r w:rsidR="00592767">
              <w:rPr>
                <w:rFonts w:ascii="Arial" w:hAnsi="Arial" w:cs="Arial"/>
                <w:szCs w:val="24"/>
              </w:rPr>
              <w:t>based on a 3% uplift</w:t>
            </w:r>
            <w:r w:rsidR="004655D3">
              <w:rPr>
                <w:rFonts w:ascii="Arial" w:hAnsi="Arial" w:cs="Arial"/>
                <w:szCs w:val="24"/>
              </w:rPr>
              <w:t xml:space="preserve">, a higher than anticipated pay award would be subject to further negotiation.  </w:t>
            </w:r>
            <w:r w:rsidR="007372BD">
              <w:rPr>
                <w:rFonts w:ascii="Arial" w:hAnsi="Arial" w:cs="Arial"/>
                <w:szCs w:val="24"/>
              </w:rPr>
              <w:t>Further work is currently underway</w:t>
            </w:r>
            <w:r w:rsidR="00D3481C">
              <w:rPr>
                <w:rFonts w:ascii="Arial" w:hAnsi="Arial" w:cs="Arial"/>
                <w:szCs w:val="24"/>
              </w:rPr>
              <w:t xml:space="preserve"> in formalising this agreement into a permanent amendment </w:t>
            </w:r>
            <w:r w:rsidR="000B70B9">
              <w:rPr>
                <w:rFonts w:ascii="Arial" w:hAnsi="Arial" w:cs="Arial"/>
                <w:szCs w:val="24"/>
              </w:rPr>
              <w:t>to the Service Delivery Contract.</w:t>
            </w:r>
            <w:r w:rsidR="00D3481C">
              <w:rPr>
                <w:rFonts w:ascii="Arial" w:hAnsi="Arial" w:cs="Arial"/>
                <w:szCs w:val="24"/>
              </w:rPr>
              <w:t xml:space="preserve">         </w:t>
            </w:r>
            <w:r w:rsidR="007372BD">
              <w:rPr>
                <w:rFonts w:ascii="Arial" w:hAnsi="Arial" w:cs="Arial"/>
                <w:szCs w:val="24"/>
              </w:rPr>
              <w:t xml:space="preserve">   </w:t>
            </w:r>
            <w:r w:rsidR="00592767">
              <w:rPr>
                <w:rFonts w:ascii="Arial" w:hAnsi="Arial" w:cs="Arial"/>
                <w:szCs w:val="24"/>
              </w:rPr>
              <w:t xml:space="preserve">  </w:t>
            </w:r>
            <w:r w:rsidRPr="00EE3A01">
              <w:rPr>
                <w:rFonts w:ascii="Arial" w:hAnsi="Arial" w:cs="Arial"/>
                <w:szCs w:val="24"/>
              </w:rPr>
              <w:t xml:space="preserve"> </w:t>
            </w:r>
          </w:p>
          <w:p w14:paraId="4BDF78A9" w14:textId="77777777" w:rsidR="00A07AD3" w:rsidRPr="00B039B4" w:rsidRDefault="00A07AD3" w:rsidP="00314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  <w:highlight w:val="yellow"/>
              </w:rPr>
            </w:pPr>
          </w:p>
          <w:p w14:paraId="7480B237" w14:textId="4E799EE0" w:rsidR="00926175" w:rsidRPr="00815D68" w:rsidRDefault="00B07952" w:rsidP="00C759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ED6382">
              <w:rPr>
                <w:rFonts w:ascii="Arial" w:hAnsi="Arial" w:cs="Arial"/>
                <w:szCs w:val="24"/>
              </w:rPr>
              <w:t>Inflationary increases in wages and other operating costs in conjunction</w:t>
            </w:r>
            <w:r w:rsidR="00854EC1" w:rsidRPr="00ED6382">
              <w:rPr>
                <w:rFonts w:ascii="Arial" w:hAnsi="Arial" w:cs="Arial"/>
                <w:szCs w:val="24"/>
              </w:rPr>
              <w:t xml:space="preserve"> </w:t>
            </w:r>
            <w:r w:rsidRPr="00ED6382">
              <w:rPr>
                <w:rFonts w:ascii="Arial" w:hAnsi="Arial" w:cs="Arial"/>
                <w:szCs w:val="24"/>
              </w:rPr>
              <w:t>with</w:t>
            </w:r>
            <w:r w:rsidR="00854EC1" w:rsidRPr="00ED6382">
              <w:rPr>
                <w:rFonts w:ascii="Arial" w:hAnsi="Arial" w:cs="Arial"/>
                <w:szCs w:val="24"/>
              </w:rPr>
              <w:t xml:space="preserve"> slower than anticipated recovery of income in a challenging economic environment has resulted </w:t>
            </w:r>
            <w:r w:rsidR="00BB3091" w:rsidRPr="00ED6382">
              <w:rPr>
                <w:rFonts w:ascii="Arial" w:hAnsi="Arial" w:cs="Arial"/>
                <w:szCs w:val="24"/>
              </w:rPr>
              <w:t>in a net budget pressure of £</w:t>
            </w:r>
            <w:r w:rsidR="00E76930" w:rsidRPr="00ED6382">
              <w:rPr>
                <w:rFonts w:ascii="Arial" w:hAnsi="Arial" w:cs="Arial"/>
                <w:szCs w:val="24"/>
              </w:rPr>
              <w:t>2.</w:t>
            </w:r>
            <w:r w:rsidR="00392F90" w:rsidRPr="00ED6382">
              <w:rPr>
                <w:rFonts w:ascii="Arial" w:hAnsi="Arial" w:cs="Arial"/>
                <w:szCs w:val="24"/>
              </w:rPr>
              <w:t>764</w:t>
            </w:r>
            <w:r w:rsidR="00BB3091" w:rsidRPr="00ED6382">
              <w:rPr>
                <w:rFonts w:ascii="Arial" w:hAnsi="Arial" w:cs="Arial"/>
                <w:szCs w:val="24"/>
              </w:rPr>
              <w:t>m</w:t>
            </w:r>
            <w:r w:rsidR="00854EC1" w:rsidRPr="00ED6382">
              <w:rPr>
                <w:rFonts w:ascii="Arial" w:hAnsi="Arial" w:cs="Arial"/>
                <w:szCs w:val="24"/>
              </w:rPr>
              <w:t xml:space="preserve"> for 202</w:t>
            </w:r>
            <w:r w:rsidR="00392F90" w:rsidRPr="00ED6382">
              <w:rPr>
                <w:rFonts w:ascii="Arial" w:hAnsi="Arial" w:cs="Arial"/>
                <w:szCs w:val="24"/>
              </w:rPr>
              <w:t>4</w:t>
            </w:r>
            <w:r w:rsidR="00854EC1" w:rsidRPr="00ED6382">
              <w:rPr>
                <w:rFonts w:ascii="Arial" w:hAnsi="Arial" w:cs="Arial"/>
                <w:szCs w:val="24"/>
              </w:rPr>
              <w:t>/2</w:t>
            </w:r>
            <w:r w:rsidR="00392F90" w:rsidRPr="00ED6382">
              <w:rPr>
                <w:rFonts w:ascii="Arial" w:hAnsi="Arial" w:cs="Arial"/>
                <w:szCs w:val="24"/>
              </w:rPr>
              <w:t>5</w:t>
            </w:r>
            <w:r w:rsidR="00935F9C" w:rsidRPr="00ED6382">
              <w:rPr>
                <w:rFonts w:ascii="Arial" w:hAnsi="Arial" w:cs="Arial"/>
                <w:szCs w:val="24"/>
              </w:rPr>
              <w:t>;</w:t>
            </w:r>
            <w:r w:rsidR="00D67C23" w:rsidRPr="00ED6382">
              <w:rPr>
                <w:rFonts w:ascii="Arial" w:hAnsi="Arial" w:cs="Arial"/>
                <w:szCs w:val="24"/>
              </w:rPr>
              <w:t xml:space="preserve"> this is</w:t>
            </w:r>
            <w:r w:rsidR="00BB3091" w:rsidRPr="00ED6382">
              <w:rPr>
                <w:rFonts w:ascii="Arial" w:hAnsi="Arial" w:cs="Arial"/>
                <w:szCs w:val="24"/>
              </w:rPr>
              <w:t xml:space="preserve"> after </w:t>
            </w:r>
            <w:r w:rsidR="00E76930" w:rsidRPr="00ED6382">
              <w:rPr>
                <w:rFonts w:ascii="Arial" w:hAnsi="Arial" w:cs="Arial"/>
                <w:szCs w:val="24"/>
              </w:rPr>
              <w:t xml:space="preserve">HLH </w:t>
            </w:r>
            <w:r w:rsidR="000F61FE" w:rsidRPr="00ED6382">
              <w:rPr>
                <w:rFonts w:ascii="Arial" w:hAnsi="Arial" w:cs="Arial"/>
                <w:szCs w:val="24"/>
              </w:rPr>
              <w:t xml:space="preserve">income and </w:t>
            </w:r>
            <w:r w:rsidR="00E76930" w:rsidRPr="00ED6382">
              <w:rPr>
                <w:rFonts w:ascii="Arial" w:hAnsi="Arial" w:cs="Arial"/>
                <w:szCs w:val="24"/>
              </w:rPr>
              <w:t>efficiencies</w:t>
            </w:r>
            <w:r w:rsidR="000F61FE" w:rsidRPr="00ED6382">
              <w:rPr>
                <w:rFonts w:ascii="Arial" w:hAnsi="Arial" w:cs="Arial"/>
                <w:szCs w:val="24"/>
              </w:rPr>
              <w:t xml:space="preserve"> of </w:t>
            </w:r>
            <w:r w:rsidR="001F3085" w:rsidRPr="00ED6382">
              <w:rPr>
                <w:rFonts w:ascii="Arial" w:hAnsi="Arial" w:cs="Arial"/>
                <w:szCs w:val="24"/>
              </w:rPr>
              <w:t>£2.174</w:t>
            </w:r>
            <w:r w:rsidR="003A0258" w:rsidRPr="00ED6382">
              <w:rPr>
                <w:rFonts w:ascii="Arial" w:hAnsi="Arial" w:cs="Arial"/>
                <w:szCs w:val="24"/>
              </w:rPr>
              <w:t>m</w:t>
            </w:r>
            <w:r w:rsidR="00D67C23" w:rsidRPr="00ED6382">
              <w:rPr>
                <w:rFonts w:ascii="Arial" w:hAnsi="Arial" w:cs="Arial"/>
                <w:szCs w:val="24"/>
              </w:rPr>
              <w:t xml:space="preserve">. </w:t>
            </w:r>
            <w:r w:rsidR="006F5669" w:rsidRPr="00ED6382">
              <w:rPr>
                <w:rFonts w:ascii="Arial" w:hAnsi="Arial" w:cs="Arial"/>
                <w:szCs w:val="24"/>
              </w:rPr>
              <w:t xml:space="preserve"> </w:t>
            </w:r>
            <w:r w:rsidR="006A6BAA" w:rsidRPr="00ED6382">
              <w:rPr>
                <w:rFonts w:ascii="Arial" w:hAnsi="Arial" w:cs="Arial"/>
                <w:szCs w:val="24"/>
              </w:rPr>
              <w:t xml:space="preserve">In support, </w:t>
            </w:r>
            <w:r w:rsidR="006F5669" w:rsidRPr="00ED6382">
              <w:rPr>
                <w:rFonts w:ascii="Arial" w:hAnsi="Arial" w:cs="Arial"/>
                <w:szCs w:val="24"/>
              </w:rPr>
              <w:t xml:space="preserve">THC has </w:t>
            </w:r>
            <w:r w:rsidR="00854EC1" w:rsidRPr="00ED6382">
              <w:rPr>
                <w:rFonts w:ascii="Arial" w:hAnsi="Arial" w:cs="Arial"/>
                <w:szCs w:val="24"/>
              </w:rPr>
              <w:t xml:space="preserve">proposed </w:t>
            </w:r>
            <w:r w:rsidR="006F5669" w:rsidRPr="00ED6382">
              <w:rPr>
                <w:rFonts w:ascii="ArialMT" w:hAnsi="ArialMT" w:cs="ArialMT"/>
                <w:szCs w:val="24"/>
              </w:rPr>
              <w:t xml:space="preserve">additional </w:t>
            </w:r>
            <w:r w:rsidR="00935F9C" w:rsidRPr="00ED6382">
              <w:rPr>
                <w:rFonts w:ascii="ArialMT" w:hAnsi="ArialMT" w:cs="ArialMT"/>
                <w:szCs w:val="24"/>
              </w:rPr>
              <w:t xml:space="preserve">one-off </w:t>
            </w:r>
            <w:r w:rsidR="006F5669" w:rsidRPr="00ED6382">
              <w:rPr>
                <w:rFonts w:ascii="ArialMT" w:hAnsi="ArialMT" w:cs="ArialMT"/>
                <w:szCs w:val="24"/>
              </w:rPr>
              <w:t>financial support</w:t>
            </w:r>
            <w:r w:rsidR="00854EC1" w:rsidRPr="00ED6382">
              <w:rPr>
                <w:rFonts w:ascii="ArialMT" w:hAnsi="ArialMT" w:cs="ArialMT"/>
                <w:szCs w:val="24"/>
              </w:rPr>
              <w:t xml:space="preserve"> of £2.</w:t>
            </w:r>
            <w:r w:rsidR="003A0258" w:rsidRPr="00ED6382">
              <w:rPr>
                <w:rFonts w:ascii="ArialMT" w:hAnsi="ArialMT" w:cs="ArialMT"/>
                <w:szCs w:val="24"/>
              </w:rPr>
              <w:t>764m.</w:t>
            </w:r>
            <w:r w:rsidR="00854EC1" w:rsidRPr="00ED6382">
              <w:rPr>
                <w:rFonts w:ascii="ArialMT" w:hAnsi="ArialMT" w:cs="ArialMT"/>
                <w:szCs w:val="24"/>
              </w:rPr>
              <w:t xml:space="preserve">  </w:t>
            </w:r>
          </w:p>
        </w:tc>
      </w:tr>
      <w:tr w:rsidR="00E7529E" w:rsidRPr="0089449E" w14:paraId="710245BA" w14:textId="77777777" w:rsidTr="00017428">
        <w:trPr>
          <w:trHeight w:val="1237"/>
        </w:trPr>
        <w:tc>
          <w:tcPr>
            <w:tcW w:w="817" w:type="dxa"/>
          </w:tcPr>
          <w:p w14:paraId="630DA97A" w14:textId="1AA74779" w:rsidR="00771880" w:rsidRDefault="00260A45" w:rsidP="00F036A4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</w:t>
            </w:r>
            <w:r w:rsidR="00037F60" w:rsidRPr="00037F60">
              <w:rPr>
                <w:rFonts w:ascii="Arial" w:hAnsi="Arial" w:cs="Arial"/>
                <w:b/>
                <w:szCs w:val="24"/>
              </w:rPr>
              <w:t>.</w:t>
            </w:r>
          </w:p>
          <w:p w14:paraId="1E2B8896" w14:textId="77777777" w:rsidR="00653D2D" w:rsidRDefault="00653D2D" w:rsidP="00F036A4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07239F1D" w14:textId="77777777" w:rsidR="00653D2D" w:rsidRPr="00037F60" w:rsidRDefault="00260A45" w:rsidP="005A1AD9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="00653D2D" w:rsidRPr="00876702">
              <w:rPr>
                <w:rFonts w:ascii="Arial" w:hAnsi="Arial" w:cs="Arial"/>
                <w:szCs w:val="24"/>
              </w:rPr>
              <w:t>.1</w:t>
            </w:r>
          </w:p>
        </w:tc>
        <w:tc>
          <w:tcPr>
            <w:tcW w:w="8397" w:type="dxa"/>
          </w:tcPr>
          <w:p w14:paraId="7C9BCCFC" w14:textId="2178DBAF" w:rsidR="00037F60" w:rsidRDefault="00037F60" w:rsidP="00876702">
            <w:pPr>
              <w:jc w:val="both"/>
              <w:rPr>
                <w:rFonts w:ascii="Arial" w:hAnsi="Arial" w:cs="Arial"/>
                <w:b/>
                <w:bCs/>
              </w:rPr>
            </w:pPr>
            <w:r w:rsidRPr="00137D7A">
              <w:rPr>
                <w:rFonts w:ascii="Arial" w:hAnsi="Arial" w:cs="Arial"/>
                <w:b/>
                <w:bCs/>
              </w:rPr>
              <w:t>B</w:t>
            </w:r>
            <w:r w:rsidR="00876702">
              <w:rPr>
                <w:rFonts w:ascii="Arial" w:hAnsi="Arial" w:cs="Arial"/>
                <w:b/>
                <w:bCs/>
              </w:rPr>
              <w:t>udget</w:t>
            </w:r>
            <w:r w:rsidRPr="00137D7A">
              <w:rPr>
                <w:rFonts w:ascii="Arial" w:hAnsi="Arial" w:cs="Arial"/>
                <w:b/>
                <w:bCs/>
              </w:rPr>
              <w:t xml:space="preserve"> </w:t>
            </w:r>
            <w:r w:rsidR="00A95621">
              <w:rPr>
                <w:rFonts w:ascii="Arial" w:hAnsi="Arial" w:cs="Arial"/>
                <w:b/>
                <w:bCs/>
              </w:rPr>
              <w:t>202</w:t>
            </w:r>
            <w:r w:rsidR="00B039B4">
              <w:rPr>
                <w:rFonts w:ascii="Arial" w:hAnsi="Arial" w:cs="Arial"/>
                <w:b/>
                <w:bCs/>
              </w:rPr>
              <w:t>4</w:t>
            </w:r>
            <w:r w:rsidR="00A95621">
              <w:rPr>
                <w:rFonts w:ascii="Arial" w:hAnsi="Arial" w:cs="Arial"/>
                <w:b/>
                <w:bCs/>
              </w:rPr>
              <w:t>/2</w:t>
            </w:r>
            <w:r w:rsidR="00B039B4">
              <w:rPr>
                <w:rFonts w:ascii="Arial" w:hAnsi="Arial" w:cs="Arial"/>
                <w:b/>
                <w:bCs/>
              </w:rPr>
              <w:t>5</w:t>
            </w:r>
            <w:r w:rsidRPr="00137D7A">
              <w:rPr>
                <w:rFonts w:ascii="Arial" w:hAnsi="Arial" w:cs="Arial"/>
                <w:b/>
                <w:bCs/>
              </w:rPr>
              <w:t xml:space="preserve"> A</w:t>
            </w:r>
            <w:r w:rsidR="00876702">
              <w:rPr>
                <w:rFonts w:ascii="Arial" w:hAnsi="Arial" w:cs="Arial"/>
                <w:b/>
                <w:bCs/>
              </w:rPr>
              <w:t>pproval</w:t>
            </w:r>
          </w:p>
          <w:p w14:paraId="0013DB42" w14:textId="77777777" w:rsidR="00941CC3" w:rsidRDefault="00941CC3" w:rsidP="00876702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962090E" w14:textId="79583C50" w:rsidR="00941CC3" w:rsidRPr="003066A6" w:rsidRDefault="001538E1" w:rsidP="003066A6">
            <w:pPr>
              <w:tabs>
                <w:tab w:val="left" w:pos="1020"/>
              </w:tabs>
              <w:jc w:val="both"/>
              <w:rPr>
                <w:rFonts w:ascii="Arial" w:hAnsi="Arial" w:cs="Arial"/>
                <w:szCs w:val="24"/>
              </w:rPr>
            </w:pPr>
            <w:hyperlink r:id="rId13" w:history="1">
              <w:r w:rsidR="00351AA2" w:rsidRPr="001538E1">
                <w:rPr>
                  <w:rStyle w:val="Hyperlink"/>
                  <w:rFonts w:ascii="Arial" w:hAnsi="Arial" w:cs="Arial"/>
                  <w:b/>
                  <w:bCs/>
                </w:rPr>
                <w:t>Appendix A</w:t>
              </w:r>
            </w:hyperlink>
            <w:r w:rsidR="00351AA2">
              <w:rPr>
                <w:rFonts w:ascii="Arial" w:hAnsi="Arial" w:cs="Arial"/>
                <w:bCs/>
              </w:rPr>
              <w:t xml:space="preserve"> details the draft budget </w:t>
            </w:r>
            <w:r w:rsidR="00A95621">
              <w:rPr>
                <w:rFonts w:ascii="Arial" w:hAnsi="Arial" w:cs="Arial"/>
                <w:bCs/>
              </w:rPr>
              <w:t>202</w:t>
            </w:r>
            <w:r w:rsidR="00B039B4">
              <w:rPr>
                <w:rFonts w:ascii="Arial" w:hAnsi="Arial" w:cs="Arial"/>
                <w:bCs/>
              </w:rPr>
              <w:t>4</w:t>
            </w:r>
            <w:r w:rsidR="00A95621">
              <w:rPr>
                <w:rFonts w:ascii="Arial" w:hAnsi="Arial" w:cs="Arial"/>
                <w:bCs/>
              </w:rPr>
              <w:t>/2</w:t>
            </w:r>
            <w:r w:rsidR="00B039B4">
              <w:rPr>
                <w:rFonts w:ascii="Arial" w:hAnsi="Arial" w:cs="Arial"/>
                <w:bCs/>
              </w:rPr>
              <w:t>5</w:t>
            </w:r>
            <w:r w:rsidR="00351AA2">
              <w:rPr>
                <w:rFonts w:ascii="Arial" w:hAnsi="Arial" w:cs="Arial"/>
                <w:bCs/>
              </w:rPr>
              <w:t xml:space="preserve"> for approval.</w:t>
            </w:r>
          </w:p>
        </w:tc>
      </w:tr>
      <w:tr w:rsidR="00BE11BF" w:rsidRPr="0089449E" w14:paraId="2A777F71" w14:textId="77777777" w:rsidTr="00017428">
        <w:trPr>
          <w:trHeight w:val="560"/>
        </w:trPr>
        <w:tc>
          <w:tcPr>
            <w:tcW w:w="817" w:type="dxa"/>
          </w:tcPr>
          <w:p w14:paraId="7F39F0EB" w14:textId="77777777" w:rsidR="00BE11BF" w:rsidRDefault="00BE11BF" w:rsidP="00F036A4">
            <w:pPr>
              <w:jc w:val="both"/>
              <w:rPr>
                <w:rFonts w:ascii="Arial" w:hAnsi="Arial" w:cs="Arial"/>
                <w:szCs w:val="24"/>
              </w:rPr>
            </w:pPr>
            <w:r w:rsidRPr="00425227">
              <w:rPr>
                <w:rFonts w:ascii="Arial" w:hAnsi="Arial" w:cs="Arial"/>
                <w:szCs w:val="24"/>
              </w:rPr>
              <w:t>3.2</w:t>
            </w:r>
          </w:p>
          <w:p w14:paraId="1949088A" w14:textId="77777777" w:rsidR="003E6AF3" w:rsidRDefault="003E6AF3" w:rsidP="00F036A4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467D89B6" w14:textId="4E9084F2" w:rsidR="00E312A7" w:rsidRDefault="00E312A7" w:rsidP="00F036A4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E312A7">
              <w:rPr>
                <w:rFonts w:ascii="Arial" w:hAnsi="Arial" w:cs="Arial"/>
                <w:b/>
                <w:szCs w:val="24"/>
              </w:rPr>
              <w:t>4.</w:t>
            </w:r>
          </w:p>
          <w:p w14:paraId="5918D30C" w14:textId="77777777" w:rsidR="00E312A7" w:rsidRDefault="00E312A7" w:rsidP="00F036A4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28655B96" w14:textId="375828C8" w:rsidR="00E312A7" w:rsidRDefault="00E312A7" w:rsidP="00F036A4">
            <w:pPr>
              <w:jc w:val="both"/>
              <w:rPr>
                <w:rFonts w:ascii="Arial" w:hAnsi="Arial" w:cs="Arial"/>
                <w:szCs w:val="24"/>
              </w:rPr>
            </w:pPr>
            <w:r w:rsidRPr="00E312A7">
              <w:rPr>
                <w:rFonts w:ascii="Arial" w:hAnsi="Arial" w:cs="Arial"/>
                <w:szCs w:val="24"/>
              </w:rPr>
              <w:t>4.1</w:t>
            </w:r>
          </w:p>
          <w:p w14:paraId="4C2149DC" w14:textId="341B6885" w:rsidR="00630441" w:rsidRDefault="00630441" w:rsidP="00F036A4">
            <w:pPr>
              <w:jc w:val="both"/>
              <w:rPr>
                <w:rFonts w:ascii="Arial" w:hAnsi="Arial" w:cs="Arial"/>
                <w:szCs w:val="24"/>
              </w:rPr>
            </w:pPr>
          </w:p>
          <w:p w14:paraId="1A8589DD" w14:textId="1006AB12" w:rsidR="00630441" w:rsidRDefault="00630441" w:rsidP="00F036A4">
            <w:pPr>
              <w:jc w:val="both"/>
              <w:rPr>
                <w:rFonts w:ascii="Arial" w:hAnsi="Arial" w:cs="Arial"/>
                <w:szCs w:val="24"/>
              </w:rPr>
            </w:pPr>
          </w:p>
          <w:p w14:paraId="6ADD8576" w14:textId="4F55FB59" w:rsidR="00630441" w:rsidRDefault="00630441" w:rsidP="00F036A4">
            <w:pPr>
              <w:jc w:val="both"/>
              <w:rPr>
                <w:rFonts w:ascii="Arial" w:hAnsi="Arial" w:cs="Arial"/>
                <w:szCs w:val="24"/>
              </w:rPr>
            </w:pPr>
          </w:p>
          <w:p w14:paraId="30986C5C" w14:textId="193C9B26" w:rsidR="00630441" w:rsidRDefault="00630441" w:rsidP="00F036A4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4.2</w:t>
            </w:r>
          </w:p>
          <w:p w14:paraId="5377565E" w14:textId="77777777" w:rsidR="00E312A7" w:rsidRDefault="00E312A7" w:rsidP="00F036A4">
            <w:pPr>
              <w:jc w:val="both"/>
              <w:rPr>
                <w:rFonts w:ascii="Arial" w:hAnsi="Arial" w:cs="Arial"/>
                <w:szCs w:val="24"/>
              </w:rPr>
            </w:pPr>
          </w:p>
          <w:p w14:paraId="24393BED" w14:textId="77777777" w:rsidR="00E312A7" w:rsidRDefault="00E312A7" w:rsidP="00F036A4">
            <w:pPr>
              <w:jc w:val="both"/>
              <w:rPr>
                <w:rFonts w:ascii="Arial" w:hAnsi="Arial" w:cs="Arial"/>
                <w:szCs w:val="24"/>
              </w:rPr>
            </w:pPr>
          </w:p>
          <w:p w14:paraId="42BCBC87" w14:textId="77777777" w:rsidR="00E312A7" w:rsidRDefault="00E312A7" w:rsidP="00F036A4">
            <w:pPr>
              <w:jc w:val="both"/>
              <w:rPr>
                <w:rFonts w:ascii="Arial" w:hAnsi="Arial" w:cs="Arial"/>
                <w:szCs w:val="24"/>
              </w:rPr>
            </w:pPr>
          </w:p>
          <w:p w14:paraId="5D99612E" w14:textId="77777777" w:rsidR="00E312A7" w:rsidRDefault="00E312A7" w:rsidP="00F036A4">
            <w:pPr>
              <w:jc w:val="both"/>
              <w:rPr>
                <w:rFonts w:ascii="Arial" w:hAnsi="Arial" w:cs="Arial"/>
                <w:szCs w:val="24"/>
              </w:rPr>
            </w:pPr>
          </w:p>
          <w:p w14:paraId="7B801FE1" w14:textId="77777777" w:rsidR="00E312A7" w:rsidRDefault="00E312A7" w:rsidP="00F036A4">
            <w:pPr>
              <w:jc w:val="both"/>
              <w:rPr>
                <w:rFonts w:ascii="Arial" w:hAnsi="Arial" w:cs="Arial"/>
                <w:szCs w:val="24"/>
              </w:rPr>
            </w:pPr>
          </w:p>
          <w:p w14:paraId="72964379" w14:textId="77777777" w:rsidR="00E312A7" w:rsidRDefault="00E312A7" w:rsidP="00F036A4">
            <w:pPr>
              <w:jc w:val="both"/>
              <w:rPr>
                <w:rFonts w:ascii="Arial" w:hAnsi="Arial" w:cs="Arial"/>
                <w:szCs w:val="24"/>
              </w:rPr>
            </w:pPr>
          </w:p>
          <w:p w14:paraId="7533F5DA" w14:textId="77777777" w:rsidR="00017428" w:rsidRDefault="00017428" w:rsidP="00F036A4">
            <w:pPr>
              <w:jc w:val="both"/>
              <w:rPr>
                <w:rFonts w:ascii="Arial" w:hAnsi="Arial" w:cs="Arial"/>
                <w:szCs w:val="24"/>
              </w:rPr>
            </w:pPr>
          </w:p>
          <w:p w14:paraId="6F6B2F3E" w14:textId="77777777" w:rsidR="00017428" w:rsidRDefault="00017428" w:rsidP="00F036A4">
            <w:pPr>
              <w:jc w:val="both"/>
              <w:rPr>
                <w:rFonts w:ascii="Arial" w:hAnsi="Arial" w:cs="Arial"/>
                <w:szCs w:val="24"/>
              </w:rPr>
            </w:pPr>
          </w:p>
          <w:p w14:paraId="6F2C997C" w14:textId="77777777" w:rsidR="00017428" w:rsidRDefault="00017428" w:rsidP="00F036A4">
            <w:pPr>
              <w:jc w:val="both"/>
              <w:rPr>
                <w:rFonts w:ascii="Arial" w:hAnsi="Arial" w:cs="Arial"/>
                <w:szCs w:val="24"/>
              </w:rPr>
            </w:pPr>
          </w:p>
          <w:p w14:paraId="015C4562" w14:textId="77777777" w:rsidR="00017428" w:rsidRDefault="00017428" w:rsidP="00F036A4">
            <w:pPr>
              <w:jc w:val="both"/>
              <w:rPr>
                <w:rFonts w:ascii="Arial" w:hAnsi="Arial" w:cs="Arial"/>
                <w:szCs w:val="24"/>
              </w:rPr>
            </w:pPr>
          </w:p>
          <w:p w14:paraId="30938F61" w14:textId="77777777" w:rsidR="00017428" w:rsidRDefault="00017428" w:rsidP="00F036A4">
            <w:pPr>
              <w:jc w:val="both"/>
              <w:rPr>
                <w:rFonts w:ascii="Arial" w:hAnsi="Arial" w:cs="Arial"/>
                <w:szCs w:val="24"/>
              </w:rPr>
            </w:pPr>
          </w:p>
          <w:p w14:paraId="483A64EC" w14:textId="77777777" w:rsidR="00017428" w:rsidRDefault="00017428" w:rsidP="00F036A4">
            <w:pPr>
              <w:jc w:val="both"/>
              <w:rPr>
                <w:rFonts w:ascii="Arial" w:hAnsi="Arial" w:cs="Arial"/>
                <w:szCs w:val="24"/>
              </w:rPr>
            </w:pPr>
          </w:p>
          <w:p w14:paraId="12ED4786" w14:textId="77777777" w:rsidR="00017428" w:rsidRDefault="00017428" w:rsidP="00F036A4">
            <w:pPr>
              <w:jc w:val="both"/>
              <w:rPr>
                <w:rFonts w:ascii="Arial" w:hAnsi="Arial" w:cs="Arial"/>
                <w:szCs w:val="24"/>
              </w:rPr>
            </w:pPr>
          </w:p>
          <w:p w14:paraId="57C1FE6D" w14:textId="77777777" w:rsidR="00017428" w:rsidRDefault="00017428" w:rsidP="00F036A4">
            <w:pPr>
              <w:jc w:val="both"/>
              <w:rPr>
                <w:rFonts w:ascii="Arial" w:hAnsi="Arial" w:cs="Arial"/>
                <w:szCs w:val="24"/>
              </w:rPr>
            </w:pPr>
          </w:p>
          <w:p w14:paraId="6F3F908D" w14:textId="77777777" w:rsidR="00017428" w:rsidRDefault="00017428" w:rsidP="00F036A4">
            <w:pPr>
              <w:jc w:val="both"/>
              <w:rPr>
                <w:rFonts w:ascii="Arial" w:hAnsi="Arial" w:cs="Arial"/>
                <w:szCs w:val="24"/>
              </w:rPr>
            </w:pPr>
          </w:p>
          <w:p w14:paraId="3A5CB9E7" w14:textId="77777777" w:rsidR="00017428" w:rsidRDefault="00017428" w:rsidP="00F036A4">
            <w:pPr>
              <w:jc w:val="both"/>
              <w:rPr>
                <w:rFonts w:ascii="Arial" w:hAnsi="Arial" w:cs="Arial"/>
                <w:szCs w:val="24"/>
              </w:rPr>
            </w:pPr>
          </w:p>
          <w:p w14:paraId="56E44F98" w14:textId="77777777" w:rsidR="00017428" w:rsidRDefault="00017428" w:rsidP="00F036A4">
            <w:pPr>
              <w:jc w:val="both"/>
              <w:rPr>
                <w:rFonts w:ascii="Arial" w:hAnsi="Arial" w:cs="Arial"/>
                <w:szCs w:val="24"/>
              </w:rPr>
            </w:pPr>
          </w:p>
          <w:p w14:paraId="7ADA4557" w14:textId="77777777" w:rsidR="00017428" w:rsidRDefault="00017428" w:rsidP="00F036A4">
            <w:pPr>
              <w:jc w:val="both"/>
              <w:rPr>
                <w:rFonts w:ascii="Arial" w:hAnsi="Arial" w:cs="Arial"/>
                <w:szCs w:val="24"/>
              </w:rPr>
            </w:pPr>
          </w:p>
          <w:p w14:paraId="659BD0B4" w14:textId="77777777" w:rsidR="00017428" w:rsidRDefault="00017428" w:rsidP="00F036A4">
            <w:pPr>
              <w:jc w:val="both"/>
              <w:rPr>
                <w:rFonts w:ascii="Arial" w:hAnsi="Arial" w:cs="Arial"/>
                <w:szCs w:val="24"/>
              </w:rPr>
            </w:pPr>
          </w:p>
          <w:p w14:paraId="654F175E" w14:textId="77777777" w:rsidR="00017428" w:rsidRDefault="00017428" w:rsidP="00F036A4">
            <w:pPr>
              <w:jc w:val="both"/>
              <w:rPr>
                <w:rFonts w:ascii="Arial" w:hAnsi="Arial" w:cs="Arial"/>
                <w:szCs w:val="24"/>
              </w:rPr>
            </w:pPr>
          </w:p>
          <w:p w14:paraId="0C66F3A1" w14:textId="77777777" w:rsidR="00017428" w:rsidRDefault="00017428" w:rsidP="00F036A4">
            <w:pPr>
              <w:jc w:val="both"/>
              <w:rPr>
                <w:rFonts w:ascii="Arial" w:hAnsi="Arial" w:cs="Arial"/>
                <w:szCs w:val="24"/>
              </w:rPr>
            </w:pPr>
          </w:p>
          <w:p w14:paraId="787F7A27" w14:textId="77777777" w:rsidR="00017428" w:rsidRDefault="00017428" w:rsidP="00F036A4">
            <w:pPr>
              <w:jc w:val="both"/>
              <w:rPr>
                <w:rFonts w:ascii="Arial" w:hAnsi="Arial" w:cs="Arial"/>
                <w:szCs w:val="24"/>
              </w:rPr>
            </w:pPr>
          </w:p>
          <w:p w14:paraId="53625F78" w14:textId="77777777" w:rsidR="00101D38" w:rsidRDefault="00101D38" w:rsidP="00F036A4">
            <w:pPr>
              <w:jc w:val="both"/>
              <w:rPr>
                <w:rFonts w:ascii="Arial" w:hAnsi="Arial" w:cs="Arial"/>
                <w:szCs w:val="24"/>
              </w:rPr>
            </w:pPr>
          </w:p>
          <w:p w14:paraId="13B3486A" w14:textId="77777777" w:rsidR="00101D38" w:rsidRDefault="00101D38" w:rsidP="00F036A4">
            <w:pPr>
              <w:jc w:val="both"/>
              <w:rPr>
                <w:rFonts w:ascii="Arial" w:hAnsi="Arial" w:cs="Arial"/>
                <w:szCs w:val="24"/>
              </w:rPr>
            </w:pPr>
          </w:p>
          <w:p w14:paraId="62E8A500" w14:textId="77777777" w:rsidR="00AF3023" w:rsidRDefault="00AF3023" w:rsidP="00F036A4">
            <w:pPr>
              <w:jc w:val="both"/>
              <w:rPr>
                <w:rFonts w:ascii="Arial" w:hAnsi="Arial" w:cs="Arial"/>
                <w:szCs w:val="24"/>
              </w:rPr>
            </w:pPr>
          </w:p>
          <w:p w14:paraId="79AB4D05" w14:textId="37FA2261" w:rsidR="00017428" w:rsidRDefault="00017428" w:rsidP="00F036A4">
            <w:pPr>
              <w:jc w:val="both"/>
              <w:rPr>
                <w:rFonts w:ascii="Arial" w:hAnsi="Arial" w:cs="Arial"/>
                <w:szCs w:val="24"/>
              </w:rPr>
            </w:pPr>
          </w:p>
          <w:p w14:paraId="30F04DCD" w14:textId="77777777" w:rsidR="00017428" w:rsidRDefault="00017428" w:rsidP="00F036A4">
            <w:pPr>
              <w:jc w:val="both"/>
              <w:rPr>
                <w:rFonts w:ascii="Arial" w:hAnsi="Arial" w:cs="Arial"/>
                <w:szCs w:val="24"/>
              </w:rPr>
            </w:pPr>
          </w:p>
          <w:p w14:paraId="36725806" w14:textId="77777777" w:rsidR="00017428" w:rsidRDefault="00017428" w:rsidP="00F036A4">
            <w:pPr>
              <w:jc w:val="both"/>
              <w:rPr>
                <w:rFonts w:ascii="Arial" w:hAnsi="Arial" w:cs="Arial"/>
                <w:szCs w:val="24"/>
              </w:rPr>
            </w:pPr>
          </w:p>
          <w:p w14:paraId="184AB2AF" w14:textId="5FEDD97B" w:rsidR="00017428" w:rsidRPr="00E312A7" w:rsidRDefault="00017428" w:rsidP="00F036A4">
            <w:pPr>
              <w:jc w:val="both"/>
              <w:rPr>
                <w:rFonts w:ascii="Arial" w:hAnsi="Arial" w:cs="Arial"/>
                <w:szCs w:val="24"/>
              </w:rPr>
            </w:pPr>
          </w:p>
        </w:tc>
        <w:bookmarkStart w:id="0" w:name="OLE_LINK1"/>
        <w:tc>
          <w:tcPr>
            <w:tcW w:w="8397" w:type="dxa"/>
          </w:tcPr>
          <w:p w14:paraId="04B5A9F0" w14:textId="24E78A75" w:rsidR="00BE11BF" w:rsidRDefault="00AD59BC" w:rsidP="00B25FD2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fldChar w:fldCharType="begin"/>
            </w:r>
            <w:r>
              <w:rPr>
                <w:rFonts w:ascii="Arial" w:hAnsi="Arial" w:cs="Arial"/>
                <w:b/>
                <w:szCs w:val="24"/>
              </w:rPr>
              <w:instrText>HYPERLINK "https://www.hlhinfo.com/userfiles/file/Board/Meetings/Board_Meetings/2024/28032024/APPENDIX-B-ITEM-8.docx"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 w:rsidR="00BE11BF" w:rsidRPr="00AD59BC">
              <w:rPr>
                <w:rStyle w:val="Hyperlink"/>
                <w:rFonts w:ascii="Arial" w:hAnsi="Arial" w:cs="Arial"/>
                <w:b/>
                <w:szCs w:val="24"/>
              </w:rPr>
              <w:t>Appendix B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  <w:r w:rsidR="00BE11BF" w:rsidRPr="00ED6382">
              <w:rPr>
                <w:rFonts w:ascii="Arial" w:hAnsi="Arial" w:cs="Arial"/>
                <w:szCs w:val="24"/>
              </w:rPr>
              <w:t xml:space="preserve"> details the </w:t>
            </w:r>
            <w:r w:rsidR="00027E96" w:rsidRPr="00ED6382">
              <w:rPr>
                <w:rFonts w:ascii="Arial" w:hAnsi="Arial" w:cs="Arial"/>
                <w:szCs w:val="24"/>
              </w:rPr>
              <w:t xml:space="preserve">savings and net pressure of </w:t>
            </w:r>
            <w:r w:rsidR="003E6AF3" w:rsidRPr="00ED6382">
              <w:rPr>
                <w:rFonts w:ascii="Arial" w:hAnsi="Arial" w:cs="Arial"/>
                <w:szCs w:val="24"/>
              </w:rPr>
              <w:t>£</w:t>
            </w:r>
            <w:r w:rsidR="00854EC1" w:rsidRPr="00ED6382">
              <w:rPr>
                <w:rFonts w:ascii="Arial" w:hAnsi="Arial" w:cs="Arial"/>
                <w:szCs w:val="24"/>
              </w:rPr>
              <w:t>2.</w:t>
            </w:r>
            <w:r w:rsidR="00ED6382" w:rsidRPr="00ED6382">
              <w:rPr>
                <w:rFonts w:ascii="Arial" w:hAnsi="Arial" w:cs="Arial"/>
                <w:szCs w:val="24"/>
              </w:rPr>
              <w:t>764</w:t>
            </w:r>
            <w:r w:rsidR="003E6AF3" w:rsidRPr="00ED6382">
              <w:rPr>
                <w:rFonts w:ascii="Arial" w:hAnsi="Arial" w:cs="Arial"/>
                <w:szCs w:val="24"/>
              </w:rPr>
              <w:t>m</w:t>
            </w:r>
            <w:r w:rsidR="00D36762" w:rsidRPr="00ED6382">
              <w:rPr>
                <w:rFonts w:ascii="Arial" w:hAnsi="Arial" w:cs="Arial"/>
                <w:szCs w:val="24"/>
              </w:rPr>
              <w:t>.</w:t>
            </w:r>
          </w:p>
          <w:p w14:paraId="4844FECE" w14:textId="77777777" w:rsidR="00E312A7" w:rsidRDefault="00E312A7" w:rsidP="00B25FD2">
            <w:pPr>
              <w:jc w:val="both"/>
              <w:rPr>
                <w:rFonts w:ascii="Arial" w:hAnsi="Arial" w:cs="Arial"/>
                <w:szCs w:val="24"/>
              </w:rPr>
            </w:pPr>
          </w:p>
          <w:p w14:paraId="2ECEDC4D" w14:textId="1BD20DE1" w:rsidR="00414575" w:rsidRDefault="00854EC1" w:rsidP="00B04C09">
            <w:pPr>
              <w:tabs>
                <w:tab w:val="left" w:pos="1620"/>
              </w:tabs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Price</w:t>
            </w:r>
            <w:r w:rsidR="00B04C09">
              <w:rPr>
                <w:rFonts w:ascii="Arial" w:hAnsi="Arial" w:cs="Arial"/>
                <w:b/>
                <w:szCs w:val="24"/>
              </w:rPr>
              <w:t xml:space="preserve"> Increases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B04C09">
              <w:rPr>
                <w:rFonts w:ascii="Arial" w:hAnsi="Arial" w:cs="Arial"/>
                <w:b/>
                <w:szCs w:val="24"/>
              </w:rPr>
              <w:tab/>
            </w:r>
          </w:p>
          <w:p w14:paraId="0E95E4DE" w14:textId="77777777" w:rsidR="003E6AF3" w:rsidRDefault="003E6AF3" w:rsidP="00B25FD2">
            <w:pPr>
              <w:jc w:val="both"/>
              <w:rPr>
                <w:rFonts w:ascii="Arial" w:hAnsi="Arial" w:cs="Arial"/>
                <w:szCs w:val="24"/>
              </w:rPr>
            </w:pPr>
          </w:p>
          <w:p w14:paraId="3616A6E2" w14:textId="72FBE326" w:rsidR="00630441" w:rsidRPr="00444FC4" w:rsidRDefault="004A0BAE" w:rsidP="003E6AF3">
            <w:pPr>
              <w:jc w:val="both"/>
              <w:rPr>
                <w:rFonts w:ascii="Arial" w:hAnsi="Arial" w:cs="Arial"/>
                <w:szCs w:val="24"/>
              </w:rPr>
            </w:pPr>
            <w:r w:rsidRPr="00444FC4">
              <w:rPr>
                <w:rFonts w:ascii="Arial" w:hAnsi="Arial" w:cs="Arial"/>
                <w:szCs w:val="24"/>
              </w:rPr>
              <w:t xml:space="preserve">Monthly </w:t>
            </w:r>
            <w:r w:rsidR="00017428" w:rsidRPr="00C45E8D">
              <w:rPr>
                <w:rFonts w:ascii="Arial" w:hAnsi="Arial" w:cs="Arial"/>
                <w:i/>
                <w:szCs w:val="24"/>
              </w:rPr>
              <w:t>h</w:t>
            </w:r>
            <w:r w:rsidR="003E6AF3" w:rsidRPr="00C45E8D">
              <w:rPr>
                <w:rFonts w:ascii="Arial" w:hAnsi="Arial" w:cs="Arial"/>
                <w:i/>
                <w:szCs w:val="24"/>
              </w:rPr>
              <w:t>igh</w:t>
            </w:r>
            <w:r w:rsidR="003E6AF3" w:rsidRPr="00C45E8D">
              <w:rPr>
                <w:rFonts w:ascii="Arial" w:hAnsi="Arial" w:cs="Arial"/>
                <w:b/>
                <w:i/>
                <w:szCs w:val="24"/>
              </w:rPr>
              <w:t>life</w:t>
            </w:r>
            <w:r w:rsidR="003E6AF3" w:rsidRPr="00444FC4">
              <w:rPr>
                <w:rFonts w:ascii="Arial" w:hAnsi="Arial" w:cs="Arial"/>
                <w:i/>
                <w:iCs/>
                <w:szCs w:val="24"/>
              </w:rPr>
              <w:t xml:space="preserve"> </w:t>
            </w:r>
            <w:r w:rsidR="003E6AF3" w:rsidRPr="00444FC4">
              <w:rPr>
                <w:rFonts w:ascii="Arial" w:hAnsi="Arial" w:cs="Arial"/>
                <w:szCs w:val="24"/>
              </w:rPr>
              <w:t>prices are currently £</w:t>
            </w:r>
            <w:r w:rsidR="00365A11">
              <w:rPr>
                <w:rFonts w:ascii="Arial" w:hAnsi="Arial" w:cs="Arial"/>
                <w:szCs w:val="24"/>
              </w:rPr>
              <w:t>24.85</w:t>
            </w:r>
            <w:r w:rsidR="003E6AF3" w:rsidRPr="00444FC4">
              <w:rPr>
                <w:rFonts w:ascii="Arial" w:hAnsi="Arial" w:cs="Arial"/>
                <w:szCs w:val="24"/>
              </w:rPr>
              <w:t xml:space="preserve"> for an individual subscription and £3</w:t>
            </w:r>
            <w:r w:rsidR="00365A11">
              <w:rPr>
                <w:rFonts w:ascii="Arial" w:hAnsi="Arial" w:cs="Arial"/>
                <w:szCs w:val="24"/>
              </w:rPr>
              <w:t>7.40</w:t>
            </w:r>
            <w:r w:rsidR="00630441" w:rsidRPr="00444FC4">
              <w:rPr>
                <w:rFonts w:ascii="Arial" w:hAnsi="Arial" w:cs="Arial"/>
                <w:szCs w:val="24"/>
              </w:rPr>
              <w:t xml:space="preserve"> </w:t>
            </w:r>
            <w:r w:rsidR="003E6AF3" w:rsidRPr="00444FC4">
              <w:rPr>
                <w:rFonts w:ascii="Arial" w:hAnsi="Arial" w:cs="Arial"/>
                <w:szCs w:val="24"/>
              </w:rPr>
              <w:t xml:space="preserve">for a family subscription. A proposed </w:t>
            </w:r>
            <w:r w:rsidR="00ED6382" w:rsidRPr="00444FC4">
              <w:rPr>
                <w:rFonts w:ascii="Arial" w:hAnsi="Arial" w:cs="Arial"/>
                <w:szCs w:val="24"/>
              </w:rPr>
              <w:t>6.95</w:t>
            </w:r>
            <w:r w:rsidR="003E6AF3" w:rsidRPr="00444FC4">
              <w:rPr>
                <w:rFonts w:ascii="Arial" w:hAnsi="Arial" w:cs="Arial"/>
                <w:szCs w:val="24"/>
              </w:rPr>
              <w:t>% increase</w:t>
            </w:r>
            <w:r w:rsidR="00630441" w:rsidRPr="00444FC4">
              <w:rPr>
                <w:rFonts w:ascii="Arial" w:hAnsi="Arial" w:cs="Arial"/>
                <w:szCs w:val="24"/>
              </w:rPr>
              <w:t xml:space="preserve"> </w:t>
            </w:r>
            <w:r w:rsidR="003E6AF3" w:rsidRPr="00444FC4">
              <w:rPr>
                <w:rFonts w:ascii="Arial" w:hAnsi="Arial" w:cs="Arial"/>
                <w:szCs w:val="24"/>
              </w:rPr>
              <w:t xml:space="preserve">would </w:t>
            </w:r>
            <w:r w:rsidR="00935F9C" w:rsidRPr="00444FC4">
              <w:rPr>
                <w:rFonts w:ascii="Arial" w:hAnsi="Arial" w:cs="Arial"/>
                <w:szCs w:val="24"/>
              </w:rPr>
              <w:t>increase prices to</w:t>
            </w:r>
            <w:r w:rsidR="002D2995">
              <w:rPr>
                <w:rFonts w:ascii="Arial" w:hAnsi="Arial" w:cs="Arial"/>
                <w:szCs w:val="24"/>
              </w:rPr>
              <w:t xml:space="preserve"> </w:t>
            </w:r>
            <w:r w:rsidR="00BE04D6" w:rsidRPr="00444FC4">
              <w:rPr>
                <w:rFonts w:ascii="Arial" w:hAnsi="Arial" w:cs="Arial"/>
                <w:szCs w:val="24"/>
              </w:rPr>
              <w:t>£26.60 and £39.99 respectively.</w:t>
            </w:r>
          </w:p>
          <w:p w14:paraId="735C4F39" w14:textId="77777777" w:rsidR="00630441" w:rsidRPr="00B039B4" w:rsidRDefault="00630441" w:rsidP="003E6AF3">
            <w:pPr>
              <w:jc w:val="both"/>
              <w:rPr>
                <w:rFonts w:ascii="Arial" w:hAnsi="Arial" w:cs="Arial"/>
                <w:szCs w:val="24"/>
                <w:highlight w:val="yellow"/>
              </w:rPr>
            </w:pPr>
          </w:p>
          <w:p w14:paraId="1A23F8C5" w14:textId="2AD08A8F" w:rsidR="00EC57C6" w:rsidRPr="002D2995" w:rsidRDefault="00D25587" w:rsidP="003E6AF3">
            <w:pPr>
              <w:jc w:val="both"/>
              <w:rPr>
                <w:rFonts w:ascii="Arial" w:hAnsi="Arial" w:cs="Arial"/>
                <w:szCs w:val="24"/>
              </w:rPr>
            </w:pPr>
            <w:r w:rsidRPr="002D2995">
              <w:rPr>
                <w:rFonts w:ascii="Arial" w:hAnsi="Arial" w:cs="Arial"/>
                <w:szCs w:val="24"/>
              </w:rPr>
              <w:t>The table below details</w:t>
            </w:r>
            <w:r w:rsidR="004B08E4" w:rsidRPr="002D2995">
              <w:rPr>
                <w:rFonts w:ascii="Arial" w:hAnsi="Arial" w:cs="Arial"/>
                <w:szCs w:val="24"/>
              </w:rPr>
              <w:t xml:space="preserve"> </w:t>
            </w:r>
            <w:r w:rsidRPr="002D2995">
              <w:rPr>
                <w:rFonts w:ascii="Arial" w:hAnsi="Arial" w:cs="Arial"/>
                <w:szCs w:val="24"/>
              </w:rPr>
              <w:t>planning assumptions</w:t>
            </w:r>
            <w:r w:rsidR="004B08E4" w:rsidRPr="002D2995">
              <w:rPr>
                <w:rFonts w:ascii="Arial" w:hAnsi="Arial" w:cs="Arial"/>
                <w:szCs w:val="24"/>
              </w:rPr>
              <w:t xml:space="preserve"> </w:t>
            </w:r>
            <w:r w:rsidRPr="002D2995">
              <w:rPr>
                <w:rFonts w:ascii="Arial" w:hAnsi="Arial" w:cs="Arial"/>
                <w:szCs w:val="24"/>
              </w:rPr>
              <w:t xml:space="preserve">including growth and </w:t>
            </w:r>
            <w:r w:rsidR="00935F9C" w:rsidRPr="002D2995">
              <w:rPr>
                <w:rFonts w:ascii="Arial" w:hAnsi="Arial" w:cs="Arial"/>
                <w:szCs w:val="24"/>
              </w:rPr>
              <w:t xml:space="preserve">projected </w:t>
            </w:r>
            <w:r w:rsidRPr="002D2995">
              <w:rPr>
                <w:rFonts w:ascii="Arial" w:hAnsi="Arial" w:cs="Arial"/>
                <w:szCs w:val="24"/>
              </w:rPr>
              <w:t xml:space="preserve">attrition rates for a </w:t>
            </w:r>
            <w:r w:rsidR="00BB21F0" w:rsidRPr="002D2995">
              <w:rPr>
                <w:rFonts w:ascii="Arial" w:hAnsi="Arial" w:cs="Arial"/>
                <w:szCs w:val="24"/>
              </w:rPr>
              <w:t>6.95</w:t>
            </w:r>
            <w:r w:rsidR="004B08E4" w:rsidRPr="002D2995">
              <w:rPr>
                <w:rFonts w:ascii="Arial" w:hAnsi="Arial" w:cs="Arial"/>
                <w:szCs w:val="24"/>
              </w:rPr>
              <w:t>%</w:t>
            </w:r>
            <w:r w:rsidRPr="002D2995">
              <w:rPr>
                <w:rFonts w:ascii="Arial" w:hAnsi="Arial" w:cs="Arial"/>
                <w:szCs w:val="24"/>
              </w:rPr>
              <w:t xml:space="preserve"> price increase</w:t>
            </w:r>
            <w:r w:rsidR="00101D38" w:rsidRPr="002D2995">
              <w:rPr>
                <w:rFonts w:ascii="Arial" w:hAnsi="Arial" w:cs="Arial"/>
                <w:szCs w:val="24"/>
              </w:rPr>
              <w:t>.</w:t>
            </w:r>
            <w:r w:rsidRPr="002D2995">
              <w:rPr>
                <w:rFonts w:ascii="Arial" w:hAnsi="Arial" w:cs="Arial"/>
                <w:szCs w:val="24"/>
              </w:rPr>
              <w:t xml:space="preserve"> </w:t>
            </w:r>
            <w:r w:rsidR="000035C6" w:rsidRPr="002D2995">
              <w:rPr>
                <w:rFonts w:ascii="Arial" w:hAnsi="Arial" w:cs="Arial"/>
                <w:szCs w:val="24"/>
              </w:rPr>
              <w:t xml:space="preserve">Growth rates are conservative given the continuing impact of inflation </w:t>
            </w:r>
            <w:r w:rsidR="00735A0F" w:rsidRPr="002D2995">
              <w:rPr>
                <w:rFonts w:ascii="Arial" w:hAnsi="Arial" w:cs="Arial"/>
                <w:szCs w:val="24"/>
              </w:rPr>
              <w:t>with a</w:t>
            </w:r>
            <w:r w:rsidR="000035C6" w:rsidRPr="002D2995">
              <w:rPr>
                <w:rFonts w:ascii="Arial" w:hAnsi="Arial" w:cs="Arial"/>
                <w:szCs w:val="24"/>
              </w:rPr>
              <w:t>ttrition rates</w:t>
            </w:r>
            <w:r w:rsidR="00735A0F" w:rsidRPr="002D2995">
              <w:rPr>
                <w:rFonts w:ascii="Arial" w:hAnsi="Arial" w:cs="Arial"/>
                <w:szCs w:val="24"/>
              </w:rPr>
              <w:t xml:space="preserve"> </w:t>
            </w:r>
            <w:r w:rsidR="000035C6" w:rsidRPr="002D2995">
              <w:rPr>
                <w:rFonts w:ascii="Arial" w:hAnsi="Arial" w:cs="Arial"/>
                <w:szCs w:val="24"/>
              </w:rPr>
              <w:t xml:space="preserve">based on experience </w:t>
            </w:r>
            <w:r w:rsidR="00A620D3" w:rsidRPr="002D2995">
              <w:rPr>
                <w:rFonts w:ascii="Arial" w:hAnsi="Arial" w:cs="Arial"/>
                <w:szCs w:val="24"/>
              </w:rPr>
              <w:t xml:space="preserve">of </w:t>
            </w:r>
            <w:r w:rsidR="000035C6" w:rsidRPr="002D2995">
              <w:rPr>
                <w:rFonts w:ascii="Arial" w:hAnsi="Arial" w:cs="Arial"/>
                <w:szCs w:val="24"/>
              </w:rPr>
              <w:t>previous price increases</w:t>
            </w:r>
            <w:r w:rsidR="006649FE" w:rsidRPr="002D2995">
              <w:rPr>
                <w:rFonts w:ascii="Arial" w:hAnsi="Arial" w:cs="Arial"/>
                <w:szCs w:val="24"/>
              </w:rPr>
              <w:t xml:space="preserve">.  </w:t>
            </w:r>
            <w:r w:rsidR="002D2995" w:rsidRPr="002D2995">
              <w:rPr>
                <w:rFonts w:ascii="Arial" w:hAnsi="Arial" w:cs="Arial"/>
                <w:szCs w:val="24"/>
              </w:rPr>
              <w:t xml:space="preserve">The proposed price </w:t>
            </w:r>
            <w:r w:rsidR="00EC57C6" w:rsidRPr="002D2995">
              <w:rPr>
                <w:rFonts w:ascii="Arial" w:hAnsi="Arial" w:cs="Arial"/>
                <w:szCs w:val="24"/>
              </w:rPr>
              <w:t>increase would generate an additional £</w:t>
            </w:r>
            <w:r w:rsidR="00C55FB4" w:rsidRPr="002D2995">
              <w:rPr>
                <w:rFonts w:ascii="Arial" w:hAnsi="Arial" w:cs="Arial"/>
                <w:szCs w:val="24"/>
              </w:rPr>
              <w:t xml:space="preserve">901k </w:t>
            </w:r>
            <w:r w:rsidR="00EC57C6" w:rsidRPr="002D2995">
              <w:rPr>
                <w:rFonts w:ascii="Arial" w:hAnsi="Arial" w:cs="Arial"/>
                <w:szCs w:val="24"/>
              </w:rPr>
              <w:t>in revenue</w:t>
            </w:r>
            <w:r w:rsidR="00017428" w:rsidRPr="002D2995">
              <w:rPr>
                <w:rFonts w:ascii="Arial" w:hAnsi="Arial" w:cs="Arial"/>
                <w:szCs w:val="24"/>
              </w:rPr>
              <w:t xml:space="preserve"> with total projected income of £7.</w:t>
            </w:r>
            <w:r w:rsidR="00165523" w:rsidRPr="002D2995">
              <w:rPr>
                <w:rFonts w:ascii="Arial" w:hAnsi="Arial" w:cs="Arial"/>
                <w:szCs w:val="24"/>
              </w:rPr>
              <w:t>987m</w:t>
            </w:r>
            <w:r w:rsidR="00017428" w:rsidRPr="002D2995">
              <w:rPr>
                <w:rFonts w:ascii="Arial" w:hAnsi="Arial" w:cs="Arial"/>
                <w:szCs w:val="24"/>
              </w:rPr>
              <w:t xml:space="preserve"> for the year.  </w:t>
            </w:r>
            <w:r w:rsidR="00EC57C6" w:rsidRPr="002D2995">
              <w:rPr>
                <w:rFonts w:ascii="Arial" w:hAnsi="Arial" w:cs="Arial"/>
                <w:szCs w:val="24"/>
              </w:rPr>
              <w:t xml:space="preserve"> </w:t>
            </w:r>
          </w:p>
          <w:p w14:paraId="341DB5E8" w14:textId="77777777" w:rsidR="00BB21F0" w:rsidRPr="00B039B4" w:rsidRDefault="00BB21F0" w:rsidP="003E6AF3">
            <w:pPr>
              <w:jc w:val="both"/>
              <w:rPr>
                <w:rFonts w:ascii="Arial" w:hAnsi="Arial" w:cs="Arial"/>
                <w:szCs w:val="24"/>
                <w:highlight w:val="yellow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457"/>
              <w:gridCol w:w="2120"/>
              <w:gridCol w:w="1700"/>
              <w:gridCol w:w="1236"/>
              <w:gridCol w:w="1658"/>
            </w:tblGrid>
            <w:tr w:rsidR="00917EF7" w:rsidRPr="00A9052B" w14:paraId="30195E3C" w14:textId="77777777" w:rsidTr="00E677C2">
              <w:trPr>
                <w:trHeight w:val="126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305496"/>
                  <w:vAlign w:val="center"/>
                  <w:hideMark/>
                </w:tcPr>
                <w:p w14:paraId="3B79359D" w14:textId="77777777" w:rsidR="00917EF7" w:rsidRPr="00A9052B" w:rsidRDefault="00917EF7" w:rsidP="00917EF7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CC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b/>
                      <w:bCs/>
                      <w:color w:val="FFFFCC"/>
                      <w:szCs w:val="24"/>
                    </w:rPr>
                    <w:t>Month </w:t>
                  </w:r>
                  <w:r w:rsidRPr="00A9052B">
                    <w:rPr>
                      <w:rFonts w:ascii="Arial" w:hAnsi="Arial" w:cs="Arial"/>
                      <w:color w:val="FFFFCC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05496"/>
                  <w:vAlign w:val="center"/>
                  <w:hideMark/>
                </w:tcPr>
                <w:p w14:paraId="340AAC5D" w14:textId="77777777" w:rsidR="00917EF7" w:rsidRPr="00A9052B" w:rsidRDefault="00917EF7" w:rsidP="00917EF7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CC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b/>
                      <w:bCs/>
                      <w:color w:val="FFFFCC"/>
                      <w:szCs w:val="24"/>
                    </w:rPr>
                    <w:t xml:space="preserve">Projected </w:t>
                  </w:r>
                  <w:proofErr w:type="spellStart"/>
                  <w:r w:rsidRPr="00A9052B">
                    <w:rPr>
                      <w:rFonts w:ascii="Arial" w:hAnsi="Arial" w:cs="Arial"/>
                      <w:b/>
                      <w:bCs/>
                      <w:color w:val="FFFFCC"/>
                      <w:szCs w:val="24"/>
                    </w:rPr>
                    <w:t>Subcriptions</w:t>
                  </w:r>
                  <w:proofErr w:type="spellEnd"/>
                  <w:r w:rsidRPr="00A9052B">
                    <w:rPr>
                      <w:rFonts w:ascii="Arial" w:hAnsi="Arial" w:cs="Arial"/>
                      <w:b/>
                      <w:bCs/>
                      <w:color w:val="FFFFCC"/>
                      <w:szCs w:val="24"/>
                    </w:rPr>
                    <w:t> </w:t>
                  </w:r>
                  <w:r w:rsidRPr="00A9052B">
                    <w:rPr>
                      <w:rFonts w:ascii="Arial" w:hAnsi="Arial" w:cs="Arial"/>
                      <w:color w:val="FFFFCC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05496"/>
                  <w:vAlign w:val="center"/>
                  <w:hideMark/>
                </w:tcPr>
                <w:p w14:paraId="18834DF2" w14:textId="77777777" w:rsidR="00917EF7" w:rsidRPr="00A9052B" w:rsidRDefault="00917EF7" w:rsidP="00917EF7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CC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b/>
                      <w:bCs/>
                      <w:color w:val="FFFFCC"/>
                      <w:szCs w:val="24"/>
                    </w:rPr>
                    <w:t>Monthly Gain/Loss</w:t>
                  </w:r>
                  <w:r w:rsidRPr="00A9052B">
                    <w:rPr>
                      <w:rFonts w:ascii="Arial" w:hAnsi="Arial" w:cs="Arial"/>
                      <w:color w:val="FFFFCC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05496"/>
                  <w:vAlign w:val="center"/>
                  <w:hideMark/>
                </w:tcPr>
                <w:p w14:paraId="0051EE72" w14:textId="77777777" w:rsidR="00917EF7" w:rsidRPr="00A9052B" w:rsidRDefault="00917EF7" w:rsidP="00917EF7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CC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b/>
                      <w:bCs/>
                      <w:color w:val="FFFFCC"/>
                      <w:szCs w:val="24"/>
                    </w:rPr>
                    <w:t>% Change</w:t>
                  </w:r>
                  <w:r w:rsidRPr="00A9052B">
                    <w:rPr>
                      <w:rFonts w:ascii="Arial" w:hAnsi="Arial" w:cs="Arial"/>
                      <w:color w:val="FFFFCC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05496"/>
                  <w:vAlign w:val="center"/>
                  <w:hideMark/>
                </w:tcPr>
                <w:p w14:paraId="6235415C" w14:textId="77777777" w:rsidR="00917EF7" w:rsidRPr="00A9052B" w:rsidRDefault="00917EF7" w:rsidP="00917EF7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CC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b/>
                      <w:bCs/>
                      <w:color w:val="FFFFCC"/>
                      <w:szCs w:val="24"/>
                    </w:rPr>
                    <w:t>Projected Income (£)</w:t>
                  </w:r>
                  <w:r w:rsidRPr="00A9052B">
                    <w:rPr>
                      <w:rFonts w:ascii="Arial" w:hAnsi="Arial" w:cs="Arial"/>
                      <w:color w:val="FFFFCC"/>
                      <w:szCs w:val="24"/>
                    </w:rPr>
                    <w:t> </w:t>
                  </w:r>
                </w:p>
              </w:tc>
            </w:tr>
            <w:tr w:rsidR="00917EF7" w:rsidRPr="00A9052B" w14:paraId="46710A7B" w14:textId="77777777" w:rsidTr="00E677C2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40F6AB" w14:textId="77777777" w:rsidR="00917EF7" w:rsidRPr="00A9052B" w:rsidRDefault="00917EF7" w:rsidP="00917EF7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000000"/>
                      <w:szCs w:val="24"/>
                    </w:rPr>
                    <w:t>April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43D3EA" w14:textId="77777777" w:rsidR="00917EF7" w:rsidRPr="00A9052B" w:rsidRDefault="00917EF7" w:rsidP="00917EF7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000000"/>
                      <w:szCs w:val="24"/>
                    </w:rPr>
                    <w:t>19,592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259105" w14:textId="77777777" w:rsidR="00917EF7" w:rsidRPr="00A9052B" w:rsidRDefault="00917EF7" w:rsidP="00917EF7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000000"/>
                      <w:szCs w:val="24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964ED" w14:textId="77777777" w:rsidR="00917EF7" w:rsidRPr="00A9052B" w:rsidRDefault="00917EF7" w:rsidP="00917EF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szCs w:val="24"/>
                    </w:rPr>
                    <w:t>0.12%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E1B888" w14:textId="77777777" w:rsidR="00917EF7" w:rsidRPr="00A9052B" w:rsidRDefault="00917EF7" w:rsidP="00917EF7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000000"/>
                      <w:szCs w:val="24"/>
                    </w:rPr>
                    <w:t>655,605</w:t>
                  </w:r>
                </w:p>
              </w:tc>
            </w:tr>
            <w:tr w:rsidR="00917EF7" w:rsidRPr="00A9052B" w14:paraId="5FC04753" w14:textId="77777777" w:rsidTr="00E677C2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ABD8B0" w14:textId="77777777" w:rsidR="00917EF7" w:rsidRPr="00A9052B" w:rsidRDefault="00917EF7" w:rsidP="00917EF7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000000"/>
                      <w:szCs w:val="24"/>
                    </w:rPr>
                    <w:t>May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A4C721" w14:textId="77777777" w:rsidR="00917EF7" w:rsidRPr="00A9052B" w:rsidRDefault="00917EF7" w:rsidP="00917EF7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000000"/>
                      <w:szCs w:val="24"/>
                    </w:rPr>
                    <w:t>19,552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782C1B" w14:textId="77777777" w:rsidR="00917EF7" w:rsidRPr="00A9052B" w:rsidRDefault="00917EF7" w:rsidP="00917EF7">
                  <w:pPr>
                    <w:jc w:val="right"/>
                    <w:rPr>
                      <w:rFonts w:ascii="Arial" w:hAnsi="Arial" w:cs="Arial"/>
                      <w:color w:val="FF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FF0000"/>
                      <w:szCs w:val="24"/>
                    </w:rPr>
                    <w:t>(40)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40EFF6" w14:textId="77777777" w:rsidR="00917EF7" w:rsidRPr="00A9052B" w:rsidRDefault="00917EF7" w:rsidP="00917EF7">
                  <w:pPr>
                    <w:jc w:val="right"/>
                    <w:rPr>
                      <w:rFonts w:ascii="Arial" w:hAnsi="Arial" w:cs="Arial"/>
                      <w:color w:val="FF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FF0000"/>
                      <w:szCs w:val="24"/>
                    </w:rPr>
                    <w:t>-0.20%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427647" w14:textId="77777777" w:rsidR="00917EF7" w:rsidRPr="00A9052B" w:rsidRDefault="00917EF7" w:rsidP="00917EF7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000000"/>
                      <w:szCs w:val="24"/>
                    </w:rPr>
                    <w:t>654,294</w:t>
                  </w:r>
                </w:p>
              </w:tc>
            </w:tr>
            <w:tr w:rsidR="00917EF7" w:rsidRPr="00A9052B" w14:paraId="3EDAD19D" w14:textId="77777777" w:rsidTr="00E677C2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D2A91" w14:textId="77777777" w:rsidR="00917EF7" w:rsidRPr="00A9052B" w:rsidRDefault="00917EF7" w:rsidP="00917EF7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000000"/>
                      <w:szCs w:val="24"/>
                    </w:rPr>
                    <w:t>June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D700B3" w14:textId="77777777" w:rsidR="00917EF7" w:rsidRPr="00A9052B" w:rsidRDefault="00917EF7" w:rsidP="00917EF7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000000"/>
                      <w:szCs w:val="24"/>
                    </w:rPr>
                    <w:t>19,513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42AEF8" w14:textId="77777777" w:rsidR="00917EF7" w:rsidRPr="00A9052B" w:rsidRDefault="00917EF7" w:rsidP="00917EF7">
                  <w:pPr>
                    <w:jc w:val="right"/>
                    <w:rPr>
                      <w:rFonts w:ascii="Arial" w:hAnsi="Arial" w:cs="Arial"/>
                      <w:color w:val="FF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FF0000"/>
                      <w:szCs w:val="24"/>
                    </w:rPr>
                    <w:t>(39)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3F0EB4" w14:textId="77777777" w:rsidR="00917EF7" w:rsidRPr="00A9052B" w:rsidRDefault="00917EF7" w:rsidP="00917EF7">
                  <w:pPr>
                    <w:jc w:val="right"/>
                    <w:rPr>
                      <w:rFonts w:ascii="Arial" w:hAnsi="Arial" w:cs="Arial"/>
                      <w:color w:val="FF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FF0000"/>
                      <w:szCs w:val="24"/>
                    </w:rPr>
                    <w:t>-0.20%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3C21D" w14:textId="77777777" w:rsidR="00917EF7" w:rsidRPr="00A9052B" w:rsidRDefault="00917EF7" w:rsidP="00917EF7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000000"/>
                      <w:szCs w:val="24"/>
                    </w:rPr>
                    <w:t>652,986</w:t>
                  </w:r>
                </w:p>
              </w:tc>
            </w:tr>
            <w:tr w:rsidR="00917EF7" w:rsidRPr="00A9052B" w14:paraId="02FD8ACC" w14:textId="77777777" w:rsidTr="00E677C2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A85045" w14:textId="77777777" w:rsidR="00917EF7" w:rsidRPr="00A9052B" w:rsidRDefault="00917EF7" w:rsidP="00917EF7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000000"/>
                      <w:szCs w:val="24"/>
                    </w:rPr>
                    <w:t>July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1C57E9" w14:textId="77777777" w:rsidR="00917EF7" w:rsidRPr="00A9052B" w:rsidRDefault="00917EF7" w:rsidP="00917EF7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000000"/>
                      <w:szCs w:val="24"/>
                    </w:rPr>
                    <w:t>19,562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654E66" w14:textId="77777777" w:rsidR="00917EF7" w:rsidRPr="00A9052B" w:rsidRDefault="00917EF7" w:rsidP="00917EF7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000000"/>
                      <w:szCs w:val="24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7D8735" w14:textId="77777777" w:rsidR="00917EF7" w:rsidRPr="00A9052B" w:rsidRDefault="00917EF7" w:rsidP="00917EF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szCs w:val="24"/>
                    </w:rPr>
                    <w:t>0.25%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B8C22A" w14:textId="77777777" w:rsidR="00917EF7" w:rsidRPr="00A9052B" w:rsidRDefault="00917EF7" w:rsidP="00917EF7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000000"/>
                      <w:szCs w:val="24"/>
                    </w:rPr>
                    <w:t>654,618</w:t>
                  </w:r>
                </w:p>
              </w:tc>
            </w:tr>
            <w:tr w:rsidR="00917EF7" w:rsidRPr="00A9052B" w14:paraId="4565A614" w14:textId="77777777" w:rsidTr="00E677C2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256CD" w14:textId="77777777" w:rsidR="00917EF7" w:rsidRPr="00A9052B" w:rsidRDefault="00917EF7" w:rsidP="00917EF7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000000"/>
                      <w:szCs w:val="24"/>
                    </w:rPr>
                    <w:t>August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88D422" w14:textId="77777777" w:rsidR="00917EF7" w:rsidRPr="00A9052B" w:rsidRDefault="00917EF7" w:rsidP="00917EF7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000000"/>
                      <w:szCs w:val="24"/>
                    </w:rPr>
                    <w:t>19,719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3F0F24" w14:textId="77777777" w:rsidR="00917EF7" w:rsidRPr="00A9052B" w:rsidRDefault="00917EF7" w:rsidP="00917EF7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000000"/>
                      <w:szCs w:val="24"/>
                    </w:rPr>
                    <w:t>157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34BC68" w14:textId="77777777" w:rsidR="00917EF7" w:rsidRPr="00A9052B" w:rsidRDefault="00917EF7" w:rsidP="00917EF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szCs w:val="24"/>
                    </w:rPr>
                    <w:t>0.80%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2CC3EF" w14:textId="77777777" w:rsidR="00917EF7" w:rsidRPr="00A9052B" w:rsidRDefault="00917EF7" w:rsidP="00917EF7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000000"/>
                      <w:szCs w:val="24"/>
                    </w:rPr>
                    <w:t>659,855</w:t>
                  </w:r>
                </w:p>
              </w:tc>
            </w:tr>
            <w:tr w:rsidR="00917EF7" w:rsidRPr="00A9052B" w14:paraId="3333DFD2" w14:textId="77777777" w:rsidTr="00E677C2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A129A6" w14:textId="77777777" w:rsidR="00917EF7" w:rsidRPr="00A9052B" w:rsidRDefault="00917EF7" w:rsidP="00917EF7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000000"/>
                      <w:szCs w:val="24"/>
                    </w:rPr>
                    <w:t>September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C7C416" w14:textId="77777777" w:rsidR="00917EF7" w:rsidRPr="00A9052B" w:rsidRDefault="00917EF7" w:rsidP="00917EF7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000000"/>
                      <w:szCs w:val="24"/>
                    </w:rPr>
                    <w:t>19,433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BA405C" w14:textId="77777777" w:rsidR="00917EF7" w:rsidRPr="00A9052B" w:rsidRDefault="00917EF7" w:rsidP="00917EF7">
                  <w:pPr>
                    <w:jc w:val="right"/>
                    <w:rPr>
                      <w:rFonts w:ascii="Arial" w:hAnsi="Arial" w:cs="Arial"/>
                      <w:color w:val="FF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FF0000"/>
                      <w:szCs w:val="24"/>
                    </w:rPr>
                    <w:t>(286)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43BE06" w14:textId="77777777" w:rsidR="00917EF7" w:rsidRPr="00A9052B" w:rsidRDefault="00917EF7" w:rsidP="00917EF7">
                  <w:pPr>
                    <w:jc w:val="right"/>
                    <w:rPr>
                      <w:rFonts w:ascii="Arial" w:hAnsi="Arial" w:cs="Arial"/>
                      <w:color w:val="FF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FF0000"/>
                      <w:szCs w:val="24"/>
                    </w:rPr>
                    <w:t>-1.45%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DB349" w14:textId="77777777" w:rsidR="00917EF7" w:rsidRPr="00A9052B" w:rsidRDefault="00917EF7" w:rsidP="00917EF7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000000"/>
                      <w:szCs w:val="24"/>
                    </w:rPr>
                    <w:t>650,287</w:t>
                  </w:r>
                </w:p>
              </w:tc>
            </w:tr>
            <w:tr w:rsidR="00917EF7" w:rsidRPr="00A9052B" w14:paraId="13B481EF" w14:textId="77777777" w:rsidTr="00E677C2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1E4F22" w14:textId="77777777" w:rsidR="00917EF7" w:rsidRPr="00A9052B" w:rsidRDefault="00917EF7" w:rsidP="00917EF7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000000"/>
                      <w:szCs w:val="24"/>
                    </w:rPr>
                    <w:t>October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CEAF01" w14:textId="77777777" w:rsidR="00917EF7" w:rsidRPr="00A9052B" w:rsidRDefault="00917EF7" w:rsidP="00917EF7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000000"/>
                      <w:szCs w:val="24"/>
                    </w:rPr>
                    <w:t>19,730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CA988" w14:textId="77777777" w:rsidR="00917EF7" w:rsidRPr="00A9052B" w:rsidRDefault="00917EF7" w:rsidP="00917EF7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000000"/>
                      <w:szCs w:val="24"/>
                    </w:rPr>
                    <w:t>297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A09D19" w14:textId="77777777" w:rsidR="00917EF7" w:rsidRPr="00A9052B" w:rsidRDefault="00917EF7" w:rsidP="00917EF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szCs w:val="24"/>
                    </w:rPr>
                    <w:t>1.53%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B7A7FE" w14:textId="77777777" w:rsidR="00917EF7" w:rsidRPr="00A9052B" w:rsidRDefault="00917EF7" w:rsidP="00917EF7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000000"/>
                      <w:szCs w:val="24"/>
                    </w:rPr>
                    <w:t>660,237</w:t>
                  </w:r>
                </w:p>
              </w:tc>
            </w:tr>
            <w:tr w:rsidR="00917EF7" w:rsidRPr="00A9052B" w14:paraId="50EE0089" w14:textId="77777777" w:rsidTr="00E677C2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E96C51" w14:textId="77777777" w:rsidR="00917EF7" w:rsidRPr="00A9052B" w:rsidRDefault="00917EF7" w:rsidP="00917EF7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000000"/>
                      <w:szCs w:val="24"/>
                    </w:rPr>
                    <w:t>November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D25A3" w14:textId="77777777" w:rsidR="00917EF7" w:rsidRPr="00A9052B" w:rsidRDefault="00917EF7" w:rsidP="00917EF7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000000"/>
                      <w:szCs w:val="24"/>
                    </w:rPr>
                    <w:t>19,769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C99942" w14:textId="77777777" w:rsidR="00917EF7" w:rsidRPr="00A9052B" w:rsidRDefault="00917EF7" w:rsidP="00917EF7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000000"/>
                      <w:szCs w:val="24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0957EA" w14:textId="77777777" w:rsidR="00917EF7" w:rsidRPr="00A9052B" w:rsidRDefault="00917EF7" w:rsidP="00917EF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szCs w:val="24"/>
                    </w:rPr>
                    <w:t>0.20%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7E64CF" w14:textId="77777777" w:rsidR="00917EF7" w:rsidRPr="00A9052B" w:rsidRDefault="00917EF7" w:rsidP="00917EF7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000000"/>
                      <w:szCs w:val="24"/>
                    </w:rPr>
                    <w:t>661,557</w:t>
                  </w:r>
                </w:p>
              </w:tc>
            </w:tr>
            <w:tr w:rsidR="00917EF7" w:rsidRPr="00A9052B" w14:paraId="0C1E3C1F" w14:textId="77777777" w:rsidTr="00E677C2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976F78" w14:textId="77777777" w:rsidR="00917EF7" w:rsidRPr="00A9052B" w:rsidRDefault="00917EF7" w:rsidP="00917EF7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000000"/>
                      <w:szCs w:val="24"/>
                    </w:rPr>
                    <w:t>December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9C376B" w14:textId="77777777" w:rsidR="00917EF7" w:rsidRPr="00A9052B" w:rsidRDefault="00917EF7" w:rsidP="00917EF7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000000"/>
                      <w:szCs w:val="24"/>
                    </w:rPr>
                    <w:t>19,680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06E221" w14:textId="77777777" w:rsidR="00917EF7" w:rsidRPr="00A9052B" w:rsidRDefault="00917EF7" w:rsidP="00917EF7">
                  <w:pPr>
                    <w:jc w:val="right"/>
                    <w:rPr>
                      <w:rFonts w:ascii="Arial" w:hAnsi="Arial" w:cs="Arial"/>
                      <w:color w:val="FF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FF0000"/>
                      <w:szCs w:val="24"/>
                    </w:rPr>
                    <w:t>(89)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1DF928" w14:textId="77777777" w:rsidR="00917EF7" w:rsidRPr="00A9052B" w:rsidRDefault="00917EF7" w:rsidP="00917EF7">
                  <w:pPr>
                    <w:jc w:val="right"/>
                    <w:rPr>
                      <w:rFonts w:ascii="Arial" w:hAnsi="Arial" w:cs="Arial"/>
                      <w:color w:val="FF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FF0000"/>
                      <w:szCs w:val="24"/>
                    </w:rPr>
                    <w:t>-0.45%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C6652" w14:textId="77777777" w:rsidR="00917EF7" w:rsidRPr="00A9052B" w:rsidRDefault="00917EF7" w:rsidP="00917EF7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000000"/>
                      <w:szCs w:val="24"/>
                    </w:rPr>
                    <w:t>658,580</w:t>
                  </w:r>
                </w:p>
              </w:tc>
            </w:tr>
            <w:tr w:rsidR="00917EF7" w:rsidRPr="00A9052B" w14:paraId="4A6316CB" w14:textId="77777777" w:rsidTr="00E677C2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52D0D" w14:textId="77777777" w:rsidR="00917EF7" w:rsidRPr="00A9052B" w:rsidRDefault="00917EF7" w:rsidP="00917EF7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000000"/>
                      <w:szCs w:val="24"/>
                    </w:rPr>
                    <w:t>January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CE49FB" w14:textId="77777777" w:rsidR="00917EF7" w:rsidRPr="00A9052B" w:rsidRDefault="00917EF7" w:rsidP="00917EF7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000000"/>
                      <w:szCs w:val="24"/>
                    </w:rPr>
                    <w:t>20,359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F8D834" w14:textId="77777777" w:rsidR="00917EF7" w:rsidRPr="00A9052B" w:rsidRDefault="00917EF7" w:rsidP="00917EF7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000000"/>
                      <w:szCs w:val="24"/>
                    </w:rPr>
                    <w:t>679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8B41AB" w14:textId="77777777" w:rsidR="00917EF7" w:rsidRPr="00A9052B" w:rsidRDefault="00917EF7" w:rsidP="00917EF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szCs w:val="24"/>
                    </w:rPr>
                    <w:t>3.45%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6323D9" w14:textId="77777777" w:rsidR="00917EF7" w:rsidRPr="00A9052B" w:rsidRDefault="00917EF7" w:rsidP="00917EF7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000000"/>
                      <w:szCs w:val="24"/>
                    </w:rPr>
                    <w:t>681,301</w:t>
                  </w:r>
                </w:p>
              </w:tc>
            </w:tr>
            <w:tr w:rsidR="00917EF7" w:rsidRPr="00A9052B" w14:paraId="79AF285B" w14:textId="77777777" w:rsidTr="00E677C2">
              <w:trPr>
                <w:trHeight w:val="42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6E5737" w14:textId="77777777" w:rsidR="00917EF7" w:rsidRPr="00A9052B" w:rsidRDefault="00917EF7" w:rsidP="00917EF7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000000"/>
                      <w:szCs w:val="24"/>
                    </w:rPr>
                    <w:t>February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4C147" w14:textId="77777777" w:rsidR="00917EF7" w:rsidRPr="00A9052B" w:rsidRDefault="00917EF7" w:rsidP="00917EF7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000000"/>
                      <w:szCs w:val="24"/>
                    </w:rPr>
                    <w:t>20,750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47BB00" w14:textId="77777777" w:rsidR="00917EF7" w:rsidRPr="00A9052B" w:rsidRDefault="00917EF7" w:rsidP="00917EF7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000000"/>
                      <w:szCs w:val="24"/>
                    </w:rPr>
                    <w:t>391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DDD2A8" w14:textId="77777777" w:rsidR="00917EF7" w:rsidRPr="00A9052B" w:rsidRDefault="00917EF7" w:rsidP="00917EF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szCs w:val="24"/>
                    </w:rPr>
                    <w:t>1.92%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E740D6" w14:textId="77777777" w:rsidR="00917EF7" w:rsidRPr="00A9052B" w:rsidRDefault="00917EF7" w:rsidP="00917EF7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000000"/>
                      <w:szCs w:val="24"/>
                    </w:rPr>
                    <w:t>694,382</w:t>
                  </w:r>
                </w:p>
              </w:tc>
            </w:tr>
            <w:tr w:rsidR="00917EF7" w:rsidRPr="00A9052B" w14:paraId="1BE4EA87" w14:textId="77777777" w:rsidTr="00E677C2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C2A5C" w14:textId="77777777" w:rsidR="00917EF7" w:rsidRPr="00A9052B" w:rsidRDefault="00917EF7" w:rsidP="00917EF7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000000"/>
                      <w:szCs w:val="24"/>
                    </w:rPr>
                    <w:t>March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E1FCA4" w14:textId="77777777" w:rsidR="00917EF7" w:rsidRPr="00A9052B" w:rsidRDefault="00917EF7" w:rsidP="00917EF7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000000"/>
                      <w:szCs w:val="24"/>
                    </w:rPr>
                    <w:t>21,006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5E4A9" w14:textId="77777777" w:rsidR="00917EF7" w:rsidRPr="00A9052B" w:rsidRDefault="00917EF7" w:rsidP="00917EF7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000000"/>
                      <w:szCs w:val="24"/>
                    </w:rPr>
                    <w:t>256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42135D" w14:textId="77777777" w:rsidR="00917EF7" w:rsidRPr="00A9052B" w:rsidRDefault="00917EF7" w:rsidP="00917EF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szCs w:val="24"/>
                    </w:rPr>
                    <w:t>1.23%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EDCD2B" w14:textId="77777777" w:rsidR="00917EF7" w:rsidRPr="00A9052B" w:rsidRDefault="00917EF7" w:rsidP="00917EF7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color w:val="000000"/>
                      <w:szCs w:val="24"/>
                    </w:rPr>
                    <w:t>702,923</w:t>
                  </w:r>
                </w:p>
              </w:tc>
            </w:tr>
            <w:tr w:rsidR="00917EF7" w:rsidRPr="00A9052B" w14:paraId="63ABA936" w14:textId="77777777" w:rsidTr="00E677C2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805F2EB" w14:textId="77777777" w:rsidR="00917EF7" w:rsidRPr="00A9052B" w:rsidRDefault="00917EF7" w:rsidP="00917EF7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Total</w:t>
                  </w:r>
                  <w:r w:rsidRPr="00A9052B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44EBD9" w14:textId="77777777" w:rsidR="00917EF7" w:rsidRPr="00A9052B" w:rsidRDefault="00917EF7" w:rsidP="00917EF7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A18D2CE" w14:textId="77777777" w:rsidR="00917EF7" w:rsidRPr="00A9052B" w:rsidRDefault="00917EF7" w:rsidP="00917EF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1,437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5BDCAF" w14:textId="77777777" w:rsidR="00917EF7" w:rsidRPr="00A9052B" w:rsidRDefault="00917EF7" w:rsidP="00917EF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02E1A16" w14:textId="77777777" w:rsidR="00917EF7" w:rsidRPr="00A9052B" w:rsidRDefault="00917EF7" w:rsidP="00917EF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A9052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7,986,625</w:t>
                  </w:r>
                </w:p>
              </w:tc>
            </w:tr>
          </w:tbl>
          <w:p w14:paraId="0AFBC7B6" w14:textId="77777777" w:rsidR="00AF3023" w:rsidRDefault="00AF3023" w:rsidP="00A07AD3">
            <w:pPr>
              <w:jc w:val="both"/>
              <w:rPr>
                <w:rFonts w:ascii="Arial" w:hAnsi="Arial" w:cs="Arial"/>
                <w:szCs w:val="24"/>
                <w:highlight w:val="yellow"/>
              </w:rPr>
            </w:pPr>
          </w:p>
          <w:bookmarkEnd w:id="0"/>
          <w:p w14:paraId="50E63476" w14:textId="28EB9AAA" w:rsidR="00017428" w:rsidRDefault="00017428" w:rsidP="00165523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BC73E6" w:rsidRPr="0089449E" w14:paraId="1FDCBDD2" w14:textId="77777777" w:rsidTr="00017428">
        <w:tc>
          <w:tcPr>
            <w:tcW w:w="817" w:type="dxa"/>
          </w:tcPr>
          <w:p w14:paraId="772FD1DC" w14:textId="3BE27985" w:rsidR="00BC73E6" w:rsidRPr="00BC73E6" w:rsidRDefault="00BC73E6" w:rsidP="00472040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BC73E6">
              <w:rPr>
                <w:rFonts w:ascii="Arial" w:hAnsi="Arial" w:cs="Arial"/>
                <w:bCs/>
                <w:szCs w:val="24"/>
              </w:rPr>
              <w:t>4.3</w:t>
            </w:r>
          </w:p>
        </w:tc>
        <w:tc>
          <w:tcPr>
            <w:tcW w:w="8397" w:type="dxa"/>
          </w:tcPr>
          <w:p w14:paraId="069C40C4" w14:textId="0BDE6560" w:rsidR="00BC73E6" w:rsidRPr="00BB77A3" w:rsidRDefault="00BC73E6" w:rsidP="00BC73E6">
            <w:pPr>
              <w:jc w:val="both"/>
              <w:rPr>
                <w:rFonts w:ascii="Arial" w:hAnsi="Arial" w:cs="Arial"/>
                <w:szCs w:val="24"/>
              </w:rPr>
            </w:pPr>
            <w:r w:rsidRPr="00BB77A3">
              <w:rPr>
                <w:rFonts w:ascii="Arial" w:hAnsi="Arial" w:cs="Arial"/>
                <w:szCs w:val="24"/>
              </w:rPr>
              <w:t xml:space="preserve">Having considered the pricing report detailed at </w:t>
            </w:r>
            <w:hyperlink r:id="rId14" w:history="1">
              <w:r w:rsidRPr="00433E7A">
                <w:rPr>
                  <w:rStyle w:val="Hyperlink"/>
                  <w:rFonts w:ascii="Arial" w:hAnsi="Arial" w:cs="Arial"/>
                  <w:b/>
                  <w:bCs/>
                  <w:szCs w:val="24"/>
                </w:rPr>
                <w:t>Appendix C</w:t>
              </w:r>
            </w:hyperlink>
            <w:r w:rsidRPr="00BB77A3">
              <w:rPr>
                <w:rFonts w:ascii="Arial" w:hAnsi="Arial" w:cs="Arial"/>
                <w:b/>
                <w:bCs/>
                <w:szCs w:val="24"/>
              </w:rPr>
              <w:t xml:space="preserve">, </w:t>
            </w:r>
            <w:r w:rsidRPr="00BB77A3">
              <w:rPr>
                <w:rFonts w:ascii="Arial" w:hAnsi="Arial" w:cs="Arial"/>
                <w:szCs w:val="24"/>
              </w:rPr>
              <w:t xml:space="preserve">members </w:t>
            </w:r>
            <w:r>
              <w:rPr>
                <w:rFonts w:ascii="Arial" w:hAnsi="Arial" w:cs="Arial"/>
                <w:szCs w:val="24"/>
              </w:rPr>
              <w:t xml:space="preserve">of </w:t>
            </w:r>
            <w:r w:rsidRPr="00BB77A3">
              <w:rPr>
                <w:rFonts w:ascii="Arial" w:hAnsi="Arial" w:cs="Arial"/>
                <w:szCs w:val="24"/>
              </w:rPr>
              <w:t xml:space="preserve">the Finance and Audit Committee </w:t>
            </w:r>
            <w:r>
              <w:rPr>
                <w:rFonts w:ascii="Arial" w:hAnsi="Arial" w:cs="Arial"/>
                <w:szCs w:val="24"/>
              </w:rPr>
              <w:t xml:space="preserve">agreed at the 12 February 2024 meeting </w:t>
            </w:r>
            <w:r w:rsidRPr="00BB77A3">
              <w:rPr>
                <w:rStyle w:val="ui-provider"/>
                <w:rFonts w:ascii="Arial" w:hAnsi="Arial" w:cs="Arial"/>
                <w:szCs w:val="24"/>
              </w:rPr>
              <w:t xml:space="preserve">to </w:t>
            </w:r>
            <w:r>
              <w:rPr>
                <w:rStyle w:val="ui-provider"/>
                <w:rFonts w:ascii="Arial" w:hAnsi="Arial" w:cs="Arial"/>
                <w:szCs w:val="24"/>
              </w:rPr>
              <w:t xml:space="preserve">recommend </w:t>
            </w:r>
            <w:r w:rsidRPr="00BB77A3">
              <w:rPr>
                <w:rStyle w:val="ui-provider"/>
                <w:rFonts w:ascii="Arial" w:hAnsi="Arial" w:cs="Arial"/>
                <w:szCs w:val="24"/>
              </w:rPr>
              <w:t>approval of the proposed increases to the HLH Board on 2</w:t>
            </w:r>
            <w:r>
              <w:rPr>
                <w:rStyle w:val="ui-provider"/>
                <w:rFonts w:ascii="Arial" w:hAnsi="Arial" w:cs="Arial"/>
                <w:szCs w:val="24"/>
              </w:rPr>
              <w:t>6</w:t>
            </w:r>
            <w:r w:rsidRPr="00BB77A3">
              <w:rPr>
                <w:rStyle w:val="ui-provider"/>
                <w:rFonts w:ascii="Arial" w:hAnsi="Arial" w:cs="Arial"/>
                <w:szCs w:val="24"/>
              </w:rPr>
              <w:t xml:space="preserve"> March 2024 as part of the 2024/25 Budget approval</w:t>
            </w:r>
            <w:r w:rsidRPr="00BB77A3">
              <w:rPr>
                <w:rFonts w:ascii="Arial" w:hAnsi="Arial" w:cs="Arial"/>
                <w:szCs w:val="24"/>
              </w:rPr>
              <w:t xml:space="preserve">.  </w:t>
            </w:r>
          </w:p>
          <w:p w14:paraId="0092EEB8" w14:textId="77777777" w:rsidR="00BC73E6" w:rsidRDefault="00BC73E6" w:rsidP="007612F1">
            <w:pPr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</w:tc>
      </w:tr>
      <w:tr w:rsidR="00D04521" w:rsidRPr="0089449E" w14:paraId="3AC333B8" w14:textId="77777777" w:rsidTr="00017428">
        <w:tc>
          <w:tcPr>
            <w:tcW w:w="817" w:type="dxa"/>
          </w:tcPr>
          <w:p w14:paraId="4560CD18" w14:textId="77777777" w:rsidR="00D04521" w:rsidRPr="00D04521" w:rsidRDefault="00D04521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D04521">
              <w:rPr>
                <w:rFonts w:ascii="Arial" w:hAnsi="Arial" w:cs="Arial"/>
                <w:b/>
                <w:szCs w:val="24"/>
              </w:rPr>
              <w:t>5.</w:t>
            </w:r>
          </w:p>
        </w:tc>
        <w:tc>
          <w:tcPr>
            <w:tcW w:w="8397" w:type="dxa"/>
          </w:tcPr>
          <w:p w14:paraId="2DA8F0A8" w14:textId="77777777" w:rsidR="00D04521" w:rsidRDefault="00FC264A" w:rsidP="007612F1">
            <w:pPr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4"/>
                <w:lang w:eastAsia="en-US"/>
              </w:rPr>
              <w:t>I</w:t>
            </w:r>
            <w:r w:rsidR="00D04521">
              <w:rPr>
                <w:rFonts w:ascii="Arial" w:eastAsia="Calibri" w:hAnsi="Arial" w:cs="Arial"/>
                <w:b/>
                <w:szCs w:val="24"/>
                <w:lang w:eastAsia="en-US"/>
              </w:rPr>
              <w:t>mplications</w:t>
            </w:r>
          </w:p>
          <w:p w14:paraId="452515D4" w14:textId="77777777" w:rsidR="00D04521" w:rsidRPr="005C524F" w:rsidRDefault="00D04521" w:rsidP="007612F1">
            <w:pPr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</w:tc>
      </w:tr>
      <w:tr w:rsidR="00D04521" w:rsidRPr="0089449E" w14:paraId="67872395" w14:textId="77777777" w:rsidTr="00017428">
        <w:tc>
          <w:tcPr>
            <w:tcW w:w="817" w:type="dxa"/>
          </w:tcPr>
          <w:p w14:paraId="5B5D742B" w14:textId="7E28AC3A" w:rsidR="00616F95" w:rsidRDefault="00D04521" w:rsidP="00D04521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5.1</w:t>
            </w:r>
          </w:p>
          <w:p w14:paraId="17EA5526" w14:textId="77777777" w:rsidR="00616F95" w:rsidRDefault="00616F95" w:rsidP="00D04521">
            <w:pPr>
              <w:jc w:val="both"/>
              <w:rPr>
                <w:rFonts w:ascii="Arial" w:hAnsi="Arial" w:cs="Arial"/>
                <w:szCs w:val="24"/>
              </w:rPr>
            </w:pPr>
          </w:p>
          <w:p w14:paraId="6DA3DB2E" w14:textId="392CC7F2" w:rsidR="008016C5" w:rsidRPr="00EC25B8" w:rsidRDefault="008016C5" w:rsidP="002E26F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5516D21A" w14:textId="1AEEF2F6" w:rsidR="00D04521" w:rsidRPr="0041318E" w:rsidRDefault="00D04521" w:rsidP="002E26F7">
            <w:pPr>
              <w:jc w:val="both"/>
              <w:rPr>
                <w:rFonts w:ascii="Arial" w:hAnsi="Arial" w:cs="Arial"/>
                <w:szCs w:val="24"/>
              </w:rPr>
            </w:pPr>
            <w:r w:rsidRPr="001B472E">
              <w:rPr>
                <w:rFonts w:ascii="Arial" w:hAnsi="Arial" w:cs="Arial"/>
                <w:b/>
                <w:bCs/>
                <w:szCs w:val="24"/>
              </w:rPr>
              <w:t>Resource Implications</w:t>
            </w:r>
            <w:r w:rsidR="002E26F7" w:rsidRPr="00266AC3">
              <w:rPr>
                <w:rFonts w:ascii="Arial" w:hAnsi="Arial" w:cs="Arial"/>
                <w:szCs w:val="24"/>
              </w:rPr>
              <w:t>– there are no</w:t>
            </w:r>
            <w:r w:rsidR="002E26F7">
              <w:rPr>
                <w:rFonts w:ascii="Arial" w:hAnsi="Arial" w:cs="Arial"/>
                <w:szCs w:val="24"/>
              </w:rPr>
              <w:t xml:space="preserve"> new</w:t>
            </w:r>
            <w:r w:rsidR="002E26F7" w:rsidRPr="00266AC3">
              <w:rPr>
                <w:rFonts w:ascii="Arial" w:hAnsi="Arial" w:cs="Arial"/>
                <w:szCs w:val="24"/>
              </w:rPr>
              <w:t xml:space="preserve"> resource implications associated with the </w:t>
            </w:r>
            <w:r w:rsidR="002E26F7">
              <w:rPr>
                <w:rFonts w:ascii="Arial" w:hAnsi="Arial" w:cs="Arial"/>
                <w:szCs w:val="24"/>
              </w:rPr>
              <w:t xml:space="preserve">recommendations of this report.  </w:t>
            </w:r>
          </w:p>
        </w:tc>
      </w:tr>
      <w:tr w:rsidR="00D04521" w:rsidRPr="0089449E" w14:paraId="36768CD0" w14:textId="77777777" w:rsidTr="00017428">
        <w:tc>
          <w:tcPr>
            <w:tcW w:w="817" w:type="dxa"/>
          </w:tcPr>
          <w:p w14:paraId="466CF9CC" w14:textId="4DAB8C3D" w:rsidR="00D04521" w:rsidRPr="00EC25B8" w:rsidRDefault="00D04521" w:rsidP="00D04521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5.</w:t>
            </w:r>
            <w:r w:rsidR="008016C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5DB7EBD0" w14:textId="77777777" w:rsidR="00D04521" w:rsidRPr="00266AC3" w:rsidRDefault="00D04521" w:rsidP="00D04521">
            <w:pPr>
              <w:jc w:val="both"/>
              <w:rPr>
                <w:rFonts w:ascii="Arial" w:hAnsi="Arial" w:cs="Arial"/>
                <w:szCs w:val="24"/>
              </w:rPr>
            </w:pPr>
            <w:r w:rsidRPr="001B472E">
              <w:rPr>
                <w:rFonts w:ascii="Arial" w:hAnsi="Arial" w:cs="Arial"/>
                <w:b/>
                <w:bCs/>
                <w:szCs w:val="24"/>
              </w:rPr>
              <w:t>Legal Implications</w:t>
            </w:r>
            <w:r w:rsidRPr="00266AC3">
              <w:rPr>
                <w:rFonts w:ascii="Arial" w:hAnsi="Arial" w:cs="Arial"/>
                <w:szCs w:val="24"/>
              </w:rPr>
              <w:t xml:space="preserve"> – there are no </w:t>
            </w:r>
            <w:r>
              <w:rPr>
                <w:rFonts w:ascii="Arial" w:hAnsi="Arial" w:cs="Arial"/>
                <w:szCs w:val="24"/>
              </w:rPr>
              <w:t xml:space="preserve">new </w:t>
            </w:r>
            <w:r w:rsidRPr="00266AC3">
              <w:rPr>
                <w:rFonts w:ascii="Arial" w:hAnsi="Arial" w:cs="Arial"/>
                <w:szCs w:val="24"/>
              </w:rPr>
              <w:t>legal implications associated with the recommendations of this report.</w:t>
            </w:r>
          </w:p>
          <w:p w14:paraId="73DE6932" w14:textId="77777777" w:rsidR="00D04521" w:rsidRPr="00266AC3" w:rsidRDefault="00D04521" w:rsidP="00D04521">
            <w:pPr>
              <w:rPr>
                <w:rFonts w:ascii="Arial" w:hAnsi="Arial" w:cs="Arial"/>
                <w:szCs w:val="24"/>
              </w:rPr>
            </w:pPr>
          </w:p>
        </w:tc>
      </w:tr>
      <w:tr w:rsidR="00565673" w:rsidRPr="0089449E" w14:paraId="11666FCD" w14:textId="77777777" w:rsidTr="00017428">
        <w:tc>
          <w:tcPr>
            <w:tcW w:w="817" w:type="dxa"/>
          </w:tcPr>
          <w:p w14:paraId="19D65DAA" w14:textId="22A3550B" w:rsidR="00565673" w:rsidRDefault="00565673" w:rsidP="00D04521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5.3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7CA7961F" w14:textId="77777777" w:rsidR="00565673" w:rsidRDefault="00565673" w:rsidP="00D04521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Equality Implications</w:t>
            </w:r>
            <w:r>
              <w:rPr>
                <w:rFonts w:ascii="Arial" w:hAnsi="Arial" w:cs="Arial"/>
                <w:szCs w:val="24"/>
              </w:rPr>
              <w:t xml:space="preserve"> – there are no new equality implications associated with the recommendations of this report.</w:t>
            </w:r>
          </w:p>
          <w:p w14:paraId="4FD3F4E2" w14:textId="37E1D496" w:rsidR="00565673" w:rsidRPr="00565673" w:rsidRDefault="00565673" w:rsidP="00D04521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04521" w:rsidRPr="0089449E" w14:paraId="6624EAF1" w14:textId="77777777" w:rsidTr="00017428">
        <w:tc>
          <w:tcPr>
            <w:tcW w:w="817" w:type="dxa"/>
          </w:tcPr>
          <w:p w14:paraId="1AA012B6" w14:textId="15A7B4B5" w:rsidR="00D04521" w:rsidRPr="00EC25B8" w:rsidRDefault="00D04521" w:rsidP="00D04521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5.</w:t>
            </w:r>
            <w:r w:rsidR="008016C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09FA943B" w14:textId="1B4F3F8F" w:rsidR="00D04521" w:rsidRDefault="00D04521" w:rsidP="00D04521">
            <w:pPr>
              <w:jc w:val="both"/>
              <w:rPr>
                <w:rFonts w:ascii="Arial" w:hAnsi="Arial" w:cs="Arial"/>
                <w:szCs w:val="24"/>
              </w:rPr>
            </w:pPr>
            <w:r w:rsidRPr="001B472E">
              <w:rPr>
                <w:rFonts w:ascii="Arial" w:hAnsi="Arial" w:cs="Arial"/>
                <w:b/>
                <w:bCs/>
                <w:szCs w:val="24"/>
              </w:rPr>
              <w:t>Risk Implications</w:t>
            </w:r>
            <w:r w:rsidR="008016C5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proofErr w:type="gramStart"/>
            <w:r w:rsidR="008016C5">
              <w:rPr>
                <w:rFonts w:ascii="Arial" w:hAnsi="Arial" w:cs="Arial"/>
                <w:b/>
                <w:bCs/>
                <w:szCs w:val="24"/>
              </w:rPr>
              <w:t xml:space="preserve">- </w:t>
            </w:r>
            <w:r>
              <w:rPr>
                <w:rFonts w:ascii="Arial" w:hAnsi="Arial" w:cs="Arial"/>
                <w:szCs w:val="24"/>
              </w:rPr>
              <w:t xml:space="preserve"> there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are no new risk implications associated with the recommendations of this report.</w:t>
            </w:r>
          </w:p>
          <w:p w14:paraId="6D15532E" w14:textId="77777777" w:rsidR="00D04521" w:rsidRDefault="00D04521" w:rsidP="00D04521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04521" w:rsidRPr="0089449E" w14:paraId="4169D25C" w14:textId="77777777" w:rsidTr="00017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14" w:type="dxa"/>
            <w:gridSpan w:val="2"/>
          </w:tcPr>
          <w:p w14:paraId="6D785494" w14:textId="77777777" w:rsidR="00D04521" w:rsidRPr="0089449E" w:rsidRDefault="00D04521" w:rsidP="00D04521">
            <w:pPr>
              <w:pStyle w:val="Heading2"/>
              <w:jc w:val="both"/>
              <w:rPr>
                <w:rFonts w:ascii="Arial" w:hAnsi="Arial" w:cs="Arial"/>
                <w:b/>
                <w:szCs w:val="24"/>
                <w:u w:val="none"/>
              </w:rPr>
            </w:pPr>
            <w:r>
              <w:rPr>
                <w:rFonts w:ascii="Arial" w:hAnsi="Arial" w:cs="Arial"/>
                <w:b/>
                <w:szCs w:val="24"/>
                <w:u w:val="none"/>
              </w:rPr>
              <w:t>Recommendations</w:t>
            </w:r>
          </w:p>
          <w:p w14:paraId="2E32A5D1" w14:textId="77777777" w:rsidR="000F24C8" w:rsidRDefault="000F24C8" w:rsidP="00565673">
            <w:pPr>
              <w:jc w:val="both"/>
              <w:rPr>
                <w:rFonts w:ascii="Arial" w:hAnsi="Arial" w:cs="Arial"/>
              </w:rPr>
            </w:pPr>
          </w:p>
          <w:p w14:paraId="3362A456" w14:textId="77777777" w:rsidR="00385054" w:rsidRDefault="00385054" w:rsidP="003850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recommended that Directors:</w:t>
            </w:r>
          </w:p>
          <w:p w14:paraId="6A4741B8" w14:textId="77777777" w:rsidR="00385054" w:rsidRDefault="00385054" w:rsidP="00385054">
            <w:pPr>
              <w:jc w:val="both"/>
              <w:rPr>
                <w:rFonts w:ascii="Arial" w:hAnsi="Arial" w:cs="Arial"/>
              </w:rPr>
            </w:pPr>
          </w:p>
          <w:p w14:paraId="36554DAD" w14:textId="2F4981AE" w:rsidR="002E26F7" w:rsidRPr="00505B52" w:rsidRDefault="002E26F7" w:rsidP="00565673">
            <w:pPr>
              <w:pStyle w:val="ListParagraph"/>
              <w:numPr>
                <w:ilvl w:val="0"/>
                <w:numId w:val="46"/>
              </w:numPr>
              <w:spacing w:line="240" w:lineRule="auto"/>
              <w:ind w:left="741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B52">
              <w:rPr>
                <w:rFonts w:ascii="Arial" w:hAnsi="Arial" w:cs="Arial"/>
                <w:sz w:val="24"/>
                <w:szCs w:val="24"/>
              </w:rPr>
              <w:t xml:space="preserve">approve the operating budget for 2024/25 as summarised in </w:t>
            </w:r>
            <w:hyperlink r:id="rId15" w:history="1">
              <w:r w:rsidRPr="001538E1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Appendix A</w:t>
              </w:r>
            </w:hyperlink>
            <w:r w:rsidRPr="00505B5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191AA09" w14:textId="7275D482" w:rsidR="002E26F7" w:rsidRPr="00505B52" w:rsidRDefault="002E26F7" w:rsidP="00565673">
            <w:pPr>
              <w:pStyle w:val="ListParagraph"/>
              <w:numPr>
                <w:ilvl w:val="0"/>
                <w:numId w:val="46"/>
              </w:numPr>
              <w:spacing w:line="240" w:lineRule="auto"/>
              <w:ind w:left="741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B52">
              <w:rPr>
                <w:rFonts w:ascii="Arial" w:hAnsi="Arial" w:cs="Arial"/>
                <w:sz w:val="24"/>
                <w:szCs w:val="24"/>
              </w:rPr>
              <w:t xml:space="preserve">note the net pressure </w:t>
            </w:r>
            <w:r w:rsidR="00565673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Pr="00505B52">
              <w:rPr>
                <w:rFonts w:ascii="Arial" w:hAnsi="Arial" w:cs="Arial"/>
                <w:sz w:val="24"/>
                <w:szCs w:val="24"/>
              </w:rPr>
              <w:t>£2.764m and The Highland Council’s proposed financial support of £2.7</w:t>
            </w:r>
            <w:r w:rsidR="00896F98">
              <w:rPr>
                <w:rFonts w:ascii="Arial" w:hAnsi="Arial" w:cs="Arial"/>
                <w:sz w:val="24"/>
                <w:szCs w:val="24"/>
              </w:rPr>
              <w:t>64</w:t>
            </w:r>
            <w:r w:rsidRPr="00505B52">
              <w:rPr>
                <w:rFonts w:ascii="Arial" w:hAnsi="Arial" w:cs="Arial"/>
                <w:sz w:val="24"/>
                <w:szCs w:val="24"/>
              </w:rPr>
              <w:t xml:space="preserve">m plus £573k funding for the 2024/25 pay </w:t>
            </w:r>
            <w:proofErr w:type="gramStart"/>
            <w:r w:rsidRPr="00505B52">
              <w:rPr>
                <w:rFonts w:ascii="Arial" w:hAnsi="Arial" w:cs="Arial"/>
                <w:sz w:val="24"/>
                <w:szCs w:val="24"/>
              </w:rPr>
              <w:t>award</w:t>
            </w:r>
            <w:r w:rsidRPr="00505B52">
              <w:rPr>
                <w:rFonts w:ascii="Arial" w:eastAsia="Times New Roman" w:hAnsi="Arial" w:cs="Arial"/>
                <w:sz w:val="24"/>
                <w:szCs w:val="24"/>
              </w:rPr>
              <w:t>;</w:t>
            </w:r>
            <w:proofErr w:type="gramEnd"/>
          </w:p>
          <w:p w14:paraId="4C34D9FC" w14:textId="67AE57C4" w:rsidR="002E26F7" w:rsidRPr="00505B52" w:rsidRDefault="002E26F7" w:rsidP="00565673">
            <w:pPr>
              <w:pStyle w:val="ListParagraph"/>
              <w:numPr>
                <w:ilvl w:val="0"/>
                <w:numId w:val="46"/>
              </w:numPr>
              <w:spacing w:line="240" w:lineRule="auto"/>
              <w:ind w:left="741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B52">
              <w:rPr>
                <w:rFonts w:ascii="Arial" w:eastAsia="Times New Roman" w:hAnsi="Arial" w:cs="Arial"/>
                <w:sz w:val="24"/>
                <w:szCs w:val="24"/>
              </w:rPr>
              <w:t xml:space="preserve">agree to the income and efficiencies at </w:t>
            </w:r>
            <w:hyperlink r:id="rId16" w:history="1">
              <w:r w:rsidRPr="00AD59BC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</w:rPr>
                <w:t>Appendix B</w:t>
              </w:r>
            </w:hyperlink>
            <w:r w:rsidRPr="00505B52">
              <w:rPr>
                <w:rFonts w:ascii="Arial" w:eastAsia="Times New Roman" w:hAnsi="Arial" w:cs="Arial"/>
                <w:sz w:val="24"/>
                <w:szCs w:val="24"/>
              </w:rPr>
              <w:t>; and</w:t>
            </w:r>
            <w:r w:rsidRPr="00505B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0CDC777" w14:textId="15F60C5D" w:rsidR="00D04521" w:rsidRPr="00385054" w:rsidRDefault="002E26F7" w:rsidP="00565673">
            <w:pPr>
              <w:pStyle w:val="ListParagraph"/>
              <w:numPr>
                <w:ilvl w:val="0"/>
                <w:numId w:val="46"/>
              </w:numPr>
              <w:spacing w:line="240" w:lineRule="auto"/>
              <w:ind w:left="741" w:hanging="425"/>
              <w:jc w:val="both"/>
              <w:rPr>
                <w:rFonts w:ascii="Arial" w:hAnsi="Arial" w:cs="Arial"/>
                <w:szCs w:val="24"/>
              </w:rPr>
            </w:pPr>
            <w:r w:rsidRPr="00505B52">
              <w:rPr>
                <w:rFonts w:ascii="Arial" w:hAnsi="Arial" w:cs="Arial"/>
                <w:sz w:val="24"/>
                <w:szCs w:val="24"/>
              </w:rPr>
              <w:t>a</w:t>
            </w:r>
            <w:r w:rsidR="00B51CA0">
              <w:rPr>
                <w:rFonts w:ascii="Arial" w:hAnsi="Arial" w:cs="Arial"/>
                <w:sz w:val="24"/>
                <w:szCs w:val="24"/>
              </w:rPr>
              <w:t>pprove</w:t>
            </w:r>
            <w:r w:rsidRPr="00505B52">
              <w:rPr>
                <w:rFonts w:ascii="Arial" w:hAnsi="Arial" w:cs="Arial"/>
                <w:sz w:val="24"/>
                <w:szCs w:val="24"/>
              </w:rPr>
              <w:t xml:space="preserve"> the recommended price increases in Section 4 of the report.</w:t>
            </w:r>
          </w:p>
        </w:tc>
      </w:tr>
    </w:tbl>
    <w:p w14:paraId="13B7DAC2" w14:textId="77777777" w:rsidR="0039450A" w:rsidRPr="009B0904" w:rsidRDefault="0039450A" w:rsidP="00532972">
      <w:pPr>
        <w:tabs>
          <w:tab w:val="left" w:pos="1701"/>
        </w:tabs>
        <w:rPr>
          <w:rFonts w:ascii="Arial" w:hAnsi="Arial" w:cs="Arial"/>
          <w:szCs w:val="24"/>
        </w:rPr>
      </w:pPr>
    </w:p>
    <w:p w14:paraId="0F4FF4F5" w14:textId="77777777" w:rsidR="0039450A" w:rsidRPr="009B0904" w:rsidRDefault="0039450A" w:rsidP="00532972">
      <w:pPr>
        <w:tabs>
          <w:tab w:val="left" w:pos="1701"/>
        </w:tabs>
        <w:rPr>
          <w:rFonts w:ascii="Arial" w:hAnsi="Arial" w:cs="Arial"/>
          <w:szCs w:val="24"/>
        </w:rPr>
      </w:pPr>
      <w:r w:rsidRPr="009B0904">
        <w:rPr>
          <w:rFonts w:ascii="Arial" w:hAnsi="Arial" w:cs="Arial"/>
          <w:szCs w:val="24"/>
        </w:rPr>
        <w:t>Designation:</w:t>
      </w:r>
      <w:r w:rsidR="0067538A" w:rsidRPr="009B0904">
        <w:rPr>
          <w:rFonts w:ascii="Arial" w:hAnsi="Arial" w:cs="Arial"/>
          <w:szCs w:val="24"/>
        </w:rPr>
        <w:tab/>
        <w:t>Chief Executive</w:t>
      </w:r>
    </w:p>
    <w:p w14:paraId="0975227D" w14:textId="77777777" w:rsidR="0039450A" w:rsidRPr="009B0904" w:rsidRDefault="0039450A" w:rsidP="00532972">
      <w:pPr>
        <w:tabs>
          <w:tab w:val="left" w:pos="1701"/>
        </w:tabs>
        <w:rPr>
          <w:rFonts w:ascii="Arial" w:hAnsi="Arial" w:cs="Arial"/>
          <w:szCs w:val="24"/>
        </w:rPr>
      </w:pPr>
    </w:p>
    <w:p w14:paraId="6DB8D3D3" w14:textId="24E997AC" w:rsidR="003E6B08" w:rsidRDefault="00532972" w:rsidP="00BE11BF">
      <w:pPr>
        <w:tabs>
          <w:tab w:val="left" w:pos="1701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Date:</w:t>
      </w:r>
      <w:r>
        <w:rPr>
          <w:rFonts w:ascii="Arial" w:hAnsi="Arial" w:cs="Arial"/>
          <w:szCs w:val="24"/>
        </w:rPr>
        <w:tab/>
      </w:r>
      <w:r w:rsidR="00A26CE3">
        <w:rPr>
          <w:rFonts w:ascii="Arial" w:hAnsi="Arial" w:cs="Arial"/>
          <w:szCs w:val="24"/>
        </w:rPr>
        <w:t>18</w:t>
      </w:r>
      <w:r w:rsidR="00F703D1">
        <w:rPr>
          <w:rFonts w:ascii="Arial" w:hAnsi="Arial" w:cs="Arial"/>
          <w:szCs w:val="24"/>
        </w:rPr>
        <w:t xml:space="preserve"> March 2024</w:t>
      </w:r>
    </w:p>
    <w:p w14:paraId="621F9195" w14:textId="7020F723" w:rsidR="0095796F" w:rsidRDefault="0095796F" w:rsidP="00BE11BF">
      <w:pPr>
        <w:tabs>
          <w:tab w:val="left" w:pos="1701"/>
        </w:tabs>
        <w:rPr>
          <w:rFonts w:ascii="Arial" w:hAnsi="Arial" w:cs="Arial"/>
          <w:szCs w:val="24"/>
        </w:rPr>
      </w:pPr>
    </w:p>
    <w:p w14:paraId="3BB5FD24" w14:textId="398D2568" w:rsidR="0095796F" w:rsidRDefault="0095796F" w:rsidP="00BE11BF">
      <w:pPr>
        <w:tabs>
          <w:tab w:val="left" w:pos="1701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Authors:</w:t>
      </w:r>
      <w:r>
        <w:rPr>
          <w:rFonts w:ascii="Arial" w:hAnsi="Arial" w:cs="Arial"/>
          <w:szCs w:val="24"/>
        </w:rPr>
        <w:tab/>
        <w:t>Steve Walsh, Chief Executive</w:t>
      </w:r>
    </w:p>
    <w:p w14:paraId="68C33115" w14:textId="5C796E66" w:rsidR="0095796F" w:rsidRDefault="0095796F" w:rsidP="00BE11BF">
      <w:pPr>
        <w:tabs>
          <w:tab w:val="left" w:pos="1701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Neil Johnston, Head of Finance</w:t>
      </w:r>
    </w:p>
    <w:p w14:paraId="7A6F7B4B" w14:textId="77777777" w:rsidR="00532972" w:rsidRDefault="00532972">
      <w:pPr>
        <w:rPr>
          <w:rFonts w:ascii="Arial" w:hAnsi="Arial" w:cs="Arial"/>
          <w:szCs w:val="24"/>
        </w:rPr>
      </w:pPr>
    </w:p>
    <w:p w14:paraId="3F1D368A" w14:textId="77777777" w:rsidR="0095796F" w:rsidRDefault="0095796F">
      <w:pPr>
        <w:rPr>
          <w:rFonts w:ascii="Arial" w:hAnsi="Arial" w:cs="Arial"/>
          <w:szCs w:val="24"/>
        </w:rPr>
      </w:pPr>
    </w:p>
    <w:p w14:paraId="66A32B41" w14:textId="40ACC563" w:rsidR="0095796F" w:rsidRDefault="0095796F">
      <w:pPr>
        <w:rPr>
          <w:rFonts w:ascii="Arial" w:hAnsi="Arial" w:cs="Arial"/>
          <w:szCs w:val="24"/>
        </w:rPr>
        <w:sectPr w:rsidR="0095796F" w:rsidSect="007A7040">
          <w:pgSz w:w="11906" w:h="16838"/>
          <w:pgMar w:top="568" w:right="1440" w:bottom="709" w:left="1440" w:header="720" w:footer="720" w:gutter="0"/>
          <w:cols w:space="720"/>
        </w:sectPr>
      </w:pPr>
    </w:p>
    <w:p w14:paraId="1CBF4225" w14:textId="77777777" w:rsidR="00290EB5" w:rsidRPr="000C795A" w:rsidRDefault="000C795A" w:rsidP="001F5900">
      <w:pPr>
        <w:jc w:val="right"/>
        <w:rPr>
          <w:rFonts w:ascii="Arial" w:hAnsi="Arial" w:cs="Arial"/>
          <w:b/>
          <w:szCs w:val="24"/>
        </w:rPr>
      </w:pPr>
      <w:r w:rsidRPr="00F23ACB">
        <w:rPr>
          <w:rFonts w:ascii="Arial" w:hAnsi="Arial" w:cs="Arial"/>
          <w:b/>
          <w:szCs w:val="24"/>
        </w:rPr>
        <w:lastRenderedPageBreak/>
        <w:t>APPENDIX A</w:t>
      </w:r>
    </w:p>
    <w:p w14:paraId="2A9E78E6" w14:textId="1480A940" w:rsidR="00F16519" w:rsidRDefault="00DA670D" w:rsidP="00610B8E">
      <w:pPr>
        <w:spacing w:after="200"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  <w:r w:rsidR="00946923">
        <w:rPr>
          <w:rFonts w:ascii="Arial" w:hAnsi="Arial" w:cs="Arial"/>
          <w:b/>
          <w:szCs w:val="24"/>
        </w:rPr>
        <w:t>Draft Budget (</w:t>
      </w:r>
      <w:r w:rsidR="00A95621">
        <w:rPr>
          <w:rFonts w:ascii="Arial" w:hAnsi="Arial" w:cs="Arial"/>
          <w:b/>
          <w:szCs w:val="24"/>
        </w:rPr>
        <w:t>202</w:t>
      </w:r>
      <w:r w:rsidR="0004740E">
        <w:rPr>
          <w:rFonts w:ascii="Arial" w:hAnsi="Arial" w:cs="Arial"/>
          <w:b/>
          <w:szCs w:val="24"/>
        </w:rPr>
        <w:t>4</w:t>
      </w:r>
      <w:r w:rsidR="00A95621">
        <w:rPr>
          <w:rFonts w:ascii="Arial" w:hAnsi="Arial" w:cs="Arial"/>
          <w:b/>
          <w:szCs w:val="24"/>
        </w:rPr>
        <w:t>/2</w:t>
      </w:r>
      <w:r w:rsidR="0004740E">
        <w:rPr>
          <w:rFonts w:ascii="Arial" w:hAnsi="Arial" w:cs="Arial"/>
          <w:b/>
          <w:szCs w:val="24"/>
        </w:rPr>
        <w:t>5</w:t>
      </w:r>
      <w:r w:rsidR="00946923">
        <w:rPr>
          <w:rFonts w:ascii="Arial" w:hAnsi="Arial" w:cs="Arial"/>
          <w:b/>
          <w:szCs w:val="24"/>
        </w:rPr>
        <w:t>)</w:t>
      </w:r>
    </w:p>
    <w:tbl>
      <w:tblPr>
        <w:tblW w:w="12340" w:type="dxa"/>
        <w:tblLook w:val="04A0" w:firstRow="1" w:lastRow="0" w:firstColumn="1" w:lastColumn="0" w:noHBand="0" w:noVBand="1"/>
      </w:tblPr>
      <w:tblGrid>
        <w:gridCol w:w="2410"/>
        <w:gridCol w:w="1640"/>
        <w:gridCol w:w="1600"/>
        <w:gridCol w:w="1440"/>
        <w:gridCol w:w="1550"/>
        <w:gridCol w:w="1420"/>
        <w:gridCol w:w="2280"/>
      </w:tblGrid>
      <w:tr w:rsidR="00F217AB" w:rsidRPr="00F217AB" w14:paraId="2CD75060" w14:textId="77777777" w:rsidTr="00F217AB">
        <w:trPr>
          <w:trHeight w:val="94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FE4A8" w14:textId="77777777" w:rsidR="00F217AB" w:rsidRPr="00F217AB" w:rsidRDefault="00F217AB" w:rsidP="00F217AB">
            <w:pPr>
              <w:rPr>
                <w:sz w:val="20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4793BBDA" w14:textId="77777777" w:rsidR="00F217AB" w:rsidRPr="00F217AB" w:rsidRDefault="00F217AB" w:rsidP="00F217AB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F217AB">
              <w:rPr>
                <w:rFonts w:ascii="Arial" w:hAnsi="Arial" w:cs="Arial"/>
                <w:b/>
                <w:bCs/>
                <w:color w:val="FFFFCC"/>
                <w:szCs w:val="24"/>
              </w:rPr>
              <w:t xml:space="preserve"> Budget (23/24)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99A643A" w14:textId="77777777" w:rsidR="00F217AB" w:rsidRPr="00F217AB" w:rsidRDefault="00F217AB" w:rsidP="00F217AB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F217AB">
              <w:rPr>
                <w:rFonts w:ascii="Arial" w:hAnsi="Arial" w:cs="Arial"/>
                <w:b/>
                <w:bCs/>
                <w:color w:val="FFFFCC"/>
                <w:szCs w:val="24"/>
              </w:rPr>
              <w:t xml:space="preserve"> Pressures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303CA3C" w14:textId="77777777" w:rsidR="00F217AB" w:rsidRPr="00F217AB" w:rsidRDefault="00F217AB" w:rsidP="00F217AB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F217AB">
              <w:rPr>
                <w:rFonts w:ascii="Arial" w:hAnsi="Arial" w:cs="Arial"/>
                <w:b/>
                <w:bCs/>
                <w:color w:val="FFFFCC"/>
                <w:szCs w:val="24"/>
              </w:rPr>
              <w:t xml:space="preserve"> Income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3720603" w14:textId="77777777" w:rsidR="00F217AB" w:rsidRPr="00F217AB" w:rsidRDefault="00F217AB" w:rsidP="00F217AB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F217AB">
              <w:rPr>
                <w:rFonts w:ascii="Arial" w:hAnsi="Arial" w:cs="Arial"/>
                <w:b/>
                <w:bCs/>
                <w:color w:val="FFFFCC"/>
                <w:szCs w:val="24"/>
              </w:rPr>
              <w:t xml:space="preserve"> Efficiencies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85D6D00" w14:textId="77777777" w:rsidR="00F217AB" w:rsidRPr="00F217AB" w:rsidRDefault="00F217AB" w:rsidP="00F217AB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F217AB">
              <w:rPr>
                <w:rFonts w:ascii="Arial" w:hAnsi="Arial" w:cs="Arial"/>
                <w:b/>
                <w:bCs/>
                <w:color w:val="FFFFCC"/>
                <w:szCs w:val="24"/>
              </w:rPr>
              <w:t>Financial Support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32B3D32" w14:textId="77777777" w:rsidR="00F217AB" w:rsidRPr="00F217AB" w:rsidRDefault="00F217AB" w:rsidP="00F217AB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F217AB">
              <w:rPr>
                <w:rFonts w:ascii="Arial" w:hAnsi="Arial" w:cs="Arial"/>
                <w:b/>
                <w:bCs/>
                <w:color w:val="FFFFCC"/>
                <w:szCs w:val="24"/>
              </w:rPr>
              <w:t xml:space="preserve"> Budget (24/25)</w:t>
            </w:r>
          </w:p>
        </w:tc>
      </w:tr>
      <w:tr w:rsidR="00F217AB" w:rsidRPr="00F217AB" w14:paraId="45277A8D" w14:textId="77777777" w:rsidTr="00F217AB">
        <w:trPr>
          <w:trHeight w:val="31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B3348F8" w14:textId="77777777" w:rsidR="00F217AB" w:rsidRPr="00F217AB" w:rsidRDefault="00F217AB" w:rsidP="00F217AB">
            <w:pPr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F217AB">
              <w:rPr>
                <w:rFonts w:ascii="Arial" w:hAnsi="Arial" w:cs="Arial"/>
                <w:b/>
                <w:bCs/>
                <w:color w:val="305496"/>
                <w:szCs w:val="24"/>
              </w:rPr>
              <w:t>Adult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5983379F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305496"/>
                <w:szCs w:val="24"/>
              </w:rPr>
            </w:pPr>
            <w:r w:rsidRPr="00F217AB">
              <w:rPr>
                <w:rFonts w:ascii="Arial" w:hAnsi="Arial" w:cs="Arial"/>
                <w:color w:val="FF0000"/>
                <w:szCs w:val="24"/>
              </w:rPr>
              <w:t>(737,186)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9F9AD53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305496"/>
                <w:szCs w:val="24"/>
              </w:rPr>
            </w:pPr>
            <w:r w:rsidRPr="00F217AB">
              <w:rPr>
                <w:rFonts w:ascii="Arial" w:hAnsi="Arial" w:cs="Arial"/>
                <w:color w:val="FF0000"/>
                <w:szCs w:val="24"/>
              </w:rPr>
              <w:t>(4,900)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A7B0579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305496"/>
                <w:szCs w:val="24"/>
              </w:rPr>
            </w:pPr>
            <w:r w:rsidRPr="00F217AB">
              <w:rPr>
                <w:rFonts w:ascii="Arial" w:hAnsi="Arial" w:cs="Arial"/>
                <w:color w:val="305496"/>
                <w:szCs w:val="24"/>
              </w:rPr>
              <w:t xml:space="preserve">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C8DAEE5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305496"/>
                <w:szCs w:val="24"/>
              </w:rPr>
            </w:pPr>
            <w:r w:rsidRPr="00F217AB">
              <w:rPr>
                <w:rFonts w:ascii="Arial" w:hAnsi="Arial" w:cs="Arial"/>
                <w:color w:val="305496"/>
                <w:szCs w:val="24"/>
              </w:rPr>
              <w:t xml:space="preserve">6,168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27B9361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305496"/>
                <w:szCs w:val="24"/>
              </w:rPr>
            </w:pPr>
            <w:r w:rsidRPr="00F217AB">
              <w:rPr>
                <w:rFonts w:ascii="Arial" w:hAnsi="Arial" w:cs="Arial"/>
                <w:color w:val="305496"/>
                <w:szCs w:val="24"/>
              </w:rPr>
              <w:t xml:space="preserve">0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9D1EABF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305496"/>
                <w:szCs w:val="24"/>
              </w:rPr>
            </w:pPr>
            <w:r w:rsidRPr="00F217AB">
              <w:rPr>
                <w:rFonts w:ascii="Arial" w:hAnsi="Arial" w:cs="Arial"/>
                <w:color w:val="FF0000"/>
                <w:szCs w:val="24"/>
              </w:rPr>
              <w:t>(735,918)</w:t>
            </w:r>
          </w:p>
        </w:tc>
      </w:tr>
      <w:tr w:rsidR="00F217AB" w:rsidRPr="00F217AB" w14:paraId="445EF717" w14:textId="77777777" w:rsidTr="00F217AB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52E9" w14:textId="77777777" w:rsidR="00F217AB" w:rsidRPr="00F217AB" w:rsidRDefault="00F217AB" w:rsidP="00F217AB">
            <w:pPr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>Income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A6665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 xml:space="preserve">20,582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21E9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ACCE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2769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D969" w14:textId="77777777" w:rsidR="00F217AB" w:rsidRPr="00F217AB" w:rsidRDefault="00F217AB" w:rsidP="00F217AB">
            <w:pPr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6B0E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 xml:space="preserve">20,582 </w:t>
            </w:r>
          </w:p>
        </w:tc>
      </w:tr>
      <w:tr w:rsidR="00F217AB" w:rsidRPr="00F217AB" w14:paraId="22E26270" w14:textId="77777777" w:rsidTr="00F217AB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02B4" w14:textId="77777777" w:rsidR="00F217AB" w:rsidRPr="00F217AB" w:rsidRDefault="00F217AB" w:rsidP="00F217AB">
            <w:pPr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>Other Costs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66298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FF0000"/>
                <w:szCs w:val="24"/>
              </w:rPr>
              <w:t>(54,469)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4BB1" w14:textId="77777777" w:rsidR="00F217AB" w:rsidRPr="00F217AB" w:rsidRDefault="00F217AB" w:rsidP="00F217AB">
            <w:pPr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A37C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B23F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 xml:space="preserve">6,168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11CB" w14:textId="77777777" w:rsidR="00F217AB" w:rsidRPr="00F217AB" w:rsidRDefault="00F217AB" w:rsidP="00F217AB">
            <w:pPr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A324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FF0000"/>
                <w:szCs w:val="24"/>
              </w:rPr>
              <w:t>(48,301)</w:t>
            </w:r>
          </w:p>
        </w:tc>
      </w:tr>
      <w:tr w:rsidR="00F217AB" w:rsidRPr="00F217AB" w14:paraId="274ED1C9" w14:textId="77777777" w:rsidTr="00F217AB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2BAA" w14:textId="77777777" w:rsidR="00F217AB" w:rsidRPr="00F217AB" w:rsidRDefault="00F217AB" w:rsidP="00F217AB">
            <w:pPr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>Staff Costs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315CF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FF0000"/>
                <w:szCs w:val="24"/>
              </w:rPr>
              <w:t>(703,299)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AC78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FF0000"/>
                <w:szCs w:val="24"/>
              </w:rPr>
              <w:t>(4,900)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649D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BFE4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540A" w14:textId="77777777" w:rsidR="00F217AB" w:rsidRPr="00F217AB" w:rsidRDefault="00F217AB" w:rsidP="00F217AB">
            <w:pPr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BEAC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FF0000"/>
                <w:szCs w:val="24"/>
              </w:rPr>
              <w:t>(708,199)</w:t>
            </w:r>
          </w:p>
        </w:tc>
      </w:tr>
      <w:tr w:rsidR="00F217AB" w:rsidRPr="00F217AB" w14:paraId="603AB649" w14:textId="77777777" w:rsidTr="00F217AB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5D2C4E5" w14:textId="77777777" w:rsidR="00F217AB" w:rsidRPr="00F217AB" w:rsidRDefault="00F217AB" w:rsidP="00F217AB">
            <w:pPr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F217AB">
              <w:rPr>
                <w:rFonts w:ascii="Arial" w:hAnsi="Arial" w:cs="Arial"/>
                <w:b/>
                <w:bCs/>
                <w:color w:val="305496"/>
                <w:szCs w:val="24"/>
              </w:rPr>
              <w:t>Archives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51D8337F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F217AB">
              <w:rPr>
                <w:rFonts w:ascii="Arial" w:hAnsi="Arial" w:cs="Arial"/>
                <w:b/>
                <w:bCs/>
                <w:color w:val="FF0000"/>
                <w:szCs w:val="24"/>
              </w:rPr>
              <w:t>(750,110)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E3C72B7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F217AB">
              <w:rPr>
                <w:rFonts w:ascii="Arial" w:hAnsi="Arial" w:cs="Arial"/>
                <w:b/>
                <w:bCs/>
                <w:color w:val="FF0000"/>
                <w:szCs w:val="24"/>
              </w:rPr>
              <w:t>(28,302)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009BFAF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F217AB">
              <w:rPr>
                <w:rFonts w:ascii="Arial" w:hAnsi="Arial" w:cs="Arial"/>
                <w:b/>
                <w:bCs/>
                <w:color w:val="FF0000"/>
                <w:szCs w:val="24"/>
              </w:rPr>
              <w:t>(139)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10B50F3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F217AB">
              <w:rPr>
                <w:rFonts w:ascii="Arial" w:hAnsi="Arial" w:cs="Arial"/>
                <w:b/>
                <w:bCs/>
                <w:color w:val="305496"/>
                <w:szCs w:val="24"/>
              </w:rPr>
              <w:t xml:space="preserve">2,208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A2D52D8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F217AB">
              <w:rPr>
                <w:rFonts w:ascii="Arial" w:hAnsi="Arial" w:cs="Arial"/>
                <w:b/>
                <w:bCs/>
                <w:color w:val="305496"/>
                <w:szCs w:val="24"/>
              </w:rPr>
              <w:t xml:space="preserve">0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7CFF6C5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F217AB">
              <w:rPr>
                <w:rFonts w:ascii="Arial" w:hAnsi="Arial" w:cs="Arial"/>
                <w:b/>
                <w:bCs/>
                <w:color w:val="FF0000"/>
                <w:szCs w:val="24"/>
              </w:rPr>
              <w:t>(776,343)</w:t>
            </w:r>
          </w:p>
        </w:tc>
      </w:tr>
      <w:tr w:rsidR="00F217AB" w:rsidRPr="00F217AB" w14:paraId="57C0C5ED" w14:textId="77777777" w:rsidTr="00F217AB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FCBD" w14:textId="77777777" w:rsidR="00F217AB" w:rsidRPr="00F217AB" w:rsidRDefault="00F217AB" w:rsidP="00F217AB">
            <w:pPr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>Income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FBFEB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 xml:space="preserve">294,345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6B5E" w14:textId="77777777" w:rsidR="00F217AB" w:rsidRPr="00F217AB" w:rsidRDefault="00F217AB" w:rsidP="00F217AB">
            <w:pPr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DC8C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FF0000"/>
                <w:szCs w:val="24"/>
              </w:rPr>
              <w:t>(139)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DA2C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B8CD" w14:textId="77777777" w:rsidR="00F217AB" w:rsidRPr="00F217AB" w:rsidRDefault="00F217AB" w:rsidP="00F217AB">
            <w:pPr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831C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 xml:space="preserve">294,206 </w:t>
            </w:r>
          </w:p>
        </w:tc>
      </w:tr>
      <w:tr w:rsidR="00F217AB" w:rsidRPr="00F217AB" w14:paraId="0B9EAB0F" w14:textId="77777777" w:rsidTr="00F217AB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FF80" w14:textId="77777777" w:rsidR="00F217AB" w:rsidRPr="00F217AB" w:rsidRDefault="00F217AB" w:rsidP="00F217AB">
            <w:pPr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>Other Costs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78247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FF0000"/>
                <w:szCs w:val="24"/>
              </w:rPr>
              <w:t>(44,930)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C127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A31A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DD2E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 xml:space="preserve">2,208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2B84" w14:textId="77777777" w:rsidR="00F217AB" w:rsidRPr="00F217AB" w:rsidRDefault="00F217AB" w:rsidP="00F217AB">
            <w:pPr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4B6F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FF0000"/>
                <w:szCs w:val="24"/>
              </w:rPr>
              <w:t>(42,722)</w:t>
            </w:r>
          </w:p>
        </w:tc>
      </w:tr>
      <w:tr w:rsidR="00F217AB" w:rsidRPr="00F217AB" w14:paraId="62FFC2AC" w14:textId="77777777" w:rsidTr="00F217AB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07BC" w14:textId="77777777" w:rsidR="00F217AB" w:rsidRPr="00F217AB" w:rsidRDefault="00F217AB" w:rsidP="00F217AB">
            <w:pPr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>Staff Costs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6945B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FF0000"/>
                <w:szCs w:val="24"/>
              </w:rPr>
              <w:t>(999,525)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57D4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FF0000"/>
                <w:szCs w:val="24"/>
              </w:rPr>
              <w:t>(28,302)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21BA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C1E0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7808" w14:textId="77777777" w:rsidR="00F217AB" w:rsidRPr="00F217AB" w:rsidRDefault="00F217AB" w:rsidP="00F217AB">
            <w:pPr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9397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FF0000"/>
                <w:szCs w:val="24"/>
              </w:rPr>
              <w:t>(1,027,827)</w:t>
            </w:r>
          </w:p>
        </w:tc>
      </w:tr>
      <w:tr w:rsidR="00F217AB" w:rsidRPr="00F217AB" w14:paraId="18D9BD15" w14:textId="77777777" w:rsidTr="00F217AB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8DC30E1" w14:textId="77777777" w:rsidR="00F217AB" w:rsidRPr="00F217AB" w:rsidRDefault="00F217AB" w:rsidP="00F217AB">
            <w:pPr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F217AB">
              <w:rPr>
                <w:rFonts w:ascii="Arial" w:hAnsi="Arial" w:cs="Arial"/>
                <w:b/>
                <w:bCs/>
                <w:color w:val="305496"/>
                <w:szCs w:val="24"/>
              </w:rPr>
              <w:t>Facilities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024BECE7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F217AB">
              <w:rPr>
                <w:rFonts w:ascii="Arial" w:hAnsi="Arial" w:cs="Arial"/>
                <w:b/>
                <w:bCs/>
                <w:color w:val="FF0000"/>
                <w:szCs w:val="24"/>
              </w:rPr>
              <w:t>(4,076,766)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5CC0022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F217AB">
              <w:rPr>
                <w:rFonts w:ascii="Arial" w:hAnsi="Arial" w:cs="Arial"/>
                <w:b/>
                <w:bCs/>
                <w:color w:val="FF0000"/>
                <w:szCs w:val="24"/>
              </w:rPr>
              <w:t>(730,480)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E2DE441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F217AB">
              <w:rPr>
                <w:rFonts w:ascii="Arial" w:hAnsi="Arial" w:cs="Arial"/>
                <w:b/>
                <w:bCs/>
                <w:color w:val="305496"/>
                <w:szCs w:val="24"/>
              </w:rPr>
              <w:t xml:space="preserve">1,062,364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19A8287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F217AB">
              <w:rPr>
                <w:rFonts w:ascii="Arial" w:hAnsi="Arial" w:cs="Arial"/>
                <w:b/>
                <w:bCs/>
                <w:color w:val="305496"/>
                <w:szCs w:val="24"/>
              </w:rPr>
              <w:t xml:space="preserve">44,016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F8E6B0E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F217AB">
              <w:rPr>
                <w:rFonts w:ascii="Arial" w:hAnsi="Arial" w:cs="Arial"/>
                <w:b/>
                <w:bCs/>
                <w:color w:val="305496"/>
                <w:szCs w:val="24"/>
              </w:rPr>
              <w:t xml:space="preserve">0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5ADD539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F217AB">
              <w:rPr>
                <w:rFonts w:ascii="Arial" w:hAnsi="Arial" w:cs="Arial"/>
                <w:b/>
                <w:bCs/>
                <w:color w:val="FF0000"/>
                <w:szCs w:val="24"/>
              </w:rPr>
              <w:t>(3,700,866)</w:t>
            </w:r>
          </w:p>
        </w:tc>
      </w:tr>
      <w:tr w:rsidR="00F217AB" w:rsidRPr="00F217AB" w14:paraId="2E58B251" w14:textId="77777777" w:rsidTr="00F217AB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8C24" w14:textId="77777777" w:rsidR="00F217AB" w:rsidRPr="00F217AB" w:rsidRDefault="00F217AB" w:rsidP="00F217AB">
            <w:pPr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>Income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4627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 xml:space="preserve">11,439,083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106C" w14:textId="77777777" w:rsidR="00F217AB" w:rsidRPr="00F217AB" w:rsidRDefault="00F217AB" w:rsidP="00F217AB">
            <w:pPr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D94D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 xml:space="preserve">1,062,364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1F30" w14:textId="77777777" w:rsidR="00F217AB" w:rsidRPr="00F217AB" w:rsidRDefault="00F217AB" w:rsidP="00F217AB">
            <w:pPr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4176" w14:textId="77777777" w:rsidR="00F217AB" w:rsidRPr="00F217AB" w:rsidRDefault="00F217AB" w:rsidP="00F217AB">
            <w:pPr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4195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 xml:space="preserve">12,501,447 </w:t>
            </w:r>
          </w:p>
        </w:tc>
      </w:tr>
      <w:tr w:rsidR="00F217AB" w:rsidRPr="00F217AB" w14:paraId="47F856E8" w14:textId="77777777" w:rsidTr="00F217AB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A851" w14:textId="77777777" w:rsidR="00F217AB" w:rsidRPr="00F217AB" w:rsidRDefault="00F217AB" w:rsidP="00F217AB">
            <w:pPr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>Other Costs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EEB90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FF0000"/>
                <w:szCs w:val="24"/>
              </w:rPr>
              <w:t>(2,799,738)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DFBC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FF0000"/>
                <w:szCs w:val="24"/>
              </w:rPr>
              <w:t>(167,000)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02C4" w14:textId="77777777" w:rsidR="00F217AB" w:rsidRPr="00F217AB" w:rsidRDefault="00F217AB" w:rsidP="00F217AB">
            <w:pPr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0061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 xml:space="preserve">44,016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67A6" w14:textId="77777777" w:rsidR="00F217AB" w:rsidRPr="00F217AB" w:rsidRDefault="00F217AB" w:rsidP="00F217AB">
            <w:pPr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200C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FF0000"/>
                <w:szCs w:val="24"/>
              </w:rPr>
              <w:t>(2,922,722)</w:t>
            </w:r>
          </w:p>
        </w:tc>
      </w:tr>
      <w:tr w:rsidR="00F217AB" w:rsidRPr="00F217AB" w14:paraId="7A111F69" w14:textId="77777777" w:rsidTr="00F217AB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E75D" w14:textId="77777777" w:rsidR="00F217AB" w:rsidRPr="00F217AB" w:rsidRDefault="00F217AB" w:rsidP="00F217AB">
            <w:pPr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>Staff Costs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8F8A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FF0000"/>
                <w:szCs w:val="24"/>
              </w:rPr>
              <w:t>(12,716,111)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4FD0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FF0000"/>
                <w:szCs w:val="24"/>
              </w:rPr>
              <w:t>(563,480)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BE9F" w14:textId="77777777" w:rsidR="00F217AB" w:rsidRPr="00F217AB" w:rsidRDefault="00F217AB" w:rsidP="00F217AB">
            <w:pPr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AE5C" w14:textId="77777777" w:rsidR="00F217AB" w:rsidRPr="00F217AB" w:rsidRDefault="00F217AB" w:rsidP="00F217AB">
            <w:pPr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B5AC" w14:textId="77777777" w:rsidR="00F217AB" w:rsidRPr="00F217AB" w:rsidRDefault="00F217AB" w:rsidP="00F217AB">
            <w:pPr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4E72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FF0000"/>
                <w:szCs w:val="24"/>
              </w:rPr>
              <w:t>(13,279,591)</w:t>
            </w:r>
          </w:p>
        </w:tc>
      </w:tr>
      <w:tr w:rsidR="00F217AB" w:rsidRPr="00F217AB" w14:paraId="5A6F475A" w14:textId="77777777" w:rsidTr="00F217AB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DEF0197" w14:textId="77777777" w:rsidR="00F217AB" w:rsidRPr="00F217AB" w:rsidRDefault="00F217AB" w:rsidP="00F217AB">
            <w:pPr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F217AB">
              <w:rPr>
                <w:rFonts w:ascii="Arial" w:hAnsi="Arial" w:cs="Arial"/>
                <w:b/>
                <w:bCs/>
                <w:color w:val="305496"/>
                <w:szCs w:val="24"/>
              </w:rPr>
              <w:t>Libraries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551D0733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F217AB">
              <w:rPr>
                <w:rFonts w:ascii="Arial" w:hAnsi="Arial" w:cs="Arial"/>
                <w:b/>
                <w:bCs/>
                <w:color w:val="FF0000"/>
                <w:szCs w:val="24"/>
              </w:rPr>
              <w:t>(3,688,777)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5AA076B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F217AB">
              <w:rPr>
                <w:rFonts w:ascii="Arial" w:hAnsi="Arial" w:cs="Arial"/>
                <w:b/>
                <w:bCs/>
                <w:color w:val="FF0000"/>
                <w:szCs w:val="24"/>
              </w:rPr>
              <w:t>(155,412)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6EB702E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F217AB">
              <w:rPr>
                <w:rFonts w:ascii="Arial" w:hAnsi="Arial" w:cs="Arial"/>
                <w:b/>
                <w:bCs/>
                <w:color w:val="305496"/>
                <w:szCs w:val="24"/>
              </w:rPr>
              <w:t xml:space="preserve">13,215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13B8C86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F217AB">
              <w:rPr>
                <w:rFonts w:ascii="Arial" w:hAnsi="Arial" w:cs="Arial"/>
                <w:b/>
                <w:bCs/>
                <w:color w:val="305496"/>
                <w:szCs w:val="24"/>
              </w:rPr>
              <w:t xml:space="preserve">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48AB53E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F217AB">
              <w:rPr>
                <w:rFonts w:ascii="Arial" w:hAnsi="Arial" w:cs="Arial"/>
                <w:b/>
                <w:bCs/>
                <w:color w:val="305496"/>
                <w:szCs w:val="24"/>
              </w:rPr>
              <w:t xml:space="preserve">0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857C6B7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F217AB">
              <w:rPr>
                <w:rFonts w:ascii="Arial" w:hAnsi="Arial" w:cs="Arial"/>
                <w:b/>
                <w:bCs/>
                <w:color w:val="FF0000"/>
                <w:szCs w:val="24"/>
              </w:rPr>
              <w:t>(3,830,974)</w:t>
            </w:r>
          </w:p>
        </w:tc>
      </w:tr>
      <w:tr w:rsidR="00F217AB" w:rsidRPr="00F217AB" w14:paraId="3E8140CE" w14:textId="77777777" w:rsidTr="00F217AB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1EAF" w14:textId="77777777" w:rsidR="00F217AB" w:rsidRPr="00F217AB" w:rsidRDefault="00F217AB" w:rsidP="00F217AB">
            <w:pPr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>Income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31B5A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 xml:space="preserve">36,344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4E99" w14:textId="77777777" w:rsidR="00F217AB" w:rsidRPr="00F217AB" w:rsidRDefault="00F217AB" w:rsidP="00F217AB">
            <w:pPr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03A6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 xml:space="preserve">13,215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B664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1849" w14:textId="77777777" w:rsidR="00F217AB" w:rsidRPr="00F217AB" w:rsidRDefault="00F217AB" w:rsidP="00F217AB">
            <w:pPr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6908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 xml:space="preserve">49,559 </w:t>
            </w:r>
          </w:p>
        </w:tc>
      </w:tr>
      <w:tr w:rsidR="00F217AB" w:rsidRPr="00F217AB" w14:paraId="5D6828CC" w14:textId="77777777" w:rsidTr="00F217AB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040F" w14:textId="77777777" w:rsidR="00F217AB" w:rsidRPr="00F217AB" w:rsidRDefault="00F217AB" w:rsidP="00F217AB">
            <w:pPr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>Other Costs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8C2DD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FF0000"/>
                <w:szCs w:val="24"/>
              </w:rPr>
              <w:t>(542,528)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653D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9D8A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A2CF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9359" w14:textId="77777777" w:rsidR="00F217AB" w:rsidRPr="00F217AB" w:rsidRDefault="00F217AB" w:rsidP="00F217AB">
            <w:pPr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A75B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FF0000"/>
                <w:szCs w:val="24"/>
              </w:rPr>
              <w:t>(542,528)</w:t>
            </w:r>
          </w:p>
        </w:tc>
      </w:tr>
      <w:tr w:rsidR="00F217AB" w:rsidRPr="00F217AB" w14:paraId="3A8DCBEC" w14:textId="77777777" w:rsidTr="00F217AB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F2AC" w14:textId="77777777" w:rsidR="00F217AB" w:rsidRPr="00F217AB" w:rsidRDefault="00F217AB" w:rsidP="00F217AB">
            <w:pPr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>Staff Costs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A525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FF0000"/>
                <w:szCs w:val="24"/>
              </w:rPr>
              <w:t>(3,182,593)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7599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FF0000"/>
                <w:szCs w:val="24"/>
              </w:rPr>
              <w:t>(155,412)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63D9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3993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89A8" w14:textId="77777777" w:rsidR="00F217AB" w:rsidRPr="00F217AB" w:rsidRDefault="00F217AB" w:rsidP="00F217AB">
            <w:pPr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AFEB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FF0000"/>
                <w:szCs w:val="24"/>
              </w:rPr>
              <w:t>(3,338,005)</w:t>
            </w:r>
          </w:p>
        </w:tc>
      </w:tr>
      <w:tr w:rsidR="00F217AB" w:rsidRPr="00F217AB" w14:paraId="1FD60829" w14:textId="77777777" w:rsidTr="00F217AB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CD4F8D2" w14:textId="77777777" w:rsidR="00F217AB" w:rsidRPr="00F217AB" w:rsidRDefault="00F217AB" w:rsidP="00F217AB">
            <w:pPr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F217AB">
              <w:rPr>
                <w:rFonts w:ascii="Arial" w:hAnsi="Arial" w:cs="Arial"/>
                <w:b/>
                <w:bCs/>
                <w:color w:val="305496"/>
                <w:szCs w:val="24"/>
              </w:rPr>
              <w:t>Management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415A7332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F217AB">
              <w:rPr>
                <w:rFonts w:ascii="Arial" w:hAnsi="Arial" w:cs="Arial"/>
                <w:b/>
                <w:bCs/>
                <w:color w:val="FF0000"/>
                <w:szCs w:val="24"/>
              </w:rPr>
              <w:t>(3,011,249)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6021603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F217AB">
              <w:rPr>
                <w:rFonts w:ascii="Arial" w:hAnsi="Arial" w:cs="Arial"/>
                <w:b/>
                <w:bCs/>
                <w:color w:val="FF0000"/>
                <w:szCs w:val="24"/>
              </w:rPr>
              <w:t>(385,354)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9134A8E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F217AB">
              <w:rPr>
                <w:rFonts w:ascii="Arial" w:hAnsi="Arial" w:cs="Arial"/>
                <w:b/>
                <w:bCs/>
                <w:color w:val="FF0000"/>
                <w:szCs w:val="24"/>
              </w:rPr>
              <w:t>(84,660)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41FFEC7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F217AB">
              <w:rPr>
                <w:rFonts w:ascii="Arial" w:hAnsi="Arial" w:cs="Arial"/>
                <w:b/>
                <w:bCs/>
                <w:color w:val="305496"/>
                <w:szCs w:val="24"/>
              </w:rPr>
              <w:t xml:space="preserve">422,437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A7E0649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F217AB">
              <w:rPr>
                <w:rFonts w:ascii="Arial" w:hAnsi="Arial" w:cs="Arial"/>
                <w:b/>
                <w:bCs/>
                <w:color w:val="305496"/>
                <w:szCs w:val="24"/>
              </w:rPr>
              <w:t xml:space="preserve">0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FC4113B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F217AB">
              <w:rPr>
                <w:rFonts w:ascii="Arial" w:hAnsi="Arial" w:cs="Arial"/>
                <w:b/>
                <w:bCs/>
                <w:color w:val="FF0000"/>
                <w:szCs w:val="24"/>
              </w:rPr>
              <w:t>(3,058,826)</w:t>
            </w:r>
          </w:p>
        </w:tc>
      </w:tr>
      <w:tr w:rsidR="00F217AB" w:rsidRPr="00F217AB" w14:paraId="01324719" w14:textId="77777777" w:rsidTr="00F217AB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CCF5" w14:textId="77777777" w:rsidR="00F217AB" w:rsidRPr="00F217AB" w:rsidRDefault="00F217AB" w:rsidP="00F217AB">
            <w:pPr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>Income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AB875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 xml:space="preserve">552,047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383F" w14:textId="77777777" w:rsidR="00F217AB" w:rsidRPr="00F217AB" w:rsidRDefault="00F217AB" w:rsidP="00F217AB">
            <w:pPr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9743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FF0000"/>
                <w:szCs w:val="24"/>
              </w:rPr>
              <w:t>(84,660)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BF08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59A5" w14:textId="77777777" w:rsidR="00F217AB" w:rsidRPr="00F217AB" w:rsidRDefault="00F217AB" w:rsidP="00F217AB">
            <w:pPr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CA36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 xml:space="preserve">467,387 </w:t>
            </w:r>
          </w:p>
        </w:tc>
      </w:tr>
      <w:tr w:rsidR="00F217AB" w:rsidRPr="00F217AB" w14:paraId="19A81FE9" w14:textId="77777777" w:rsidTr="00F217AB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3685" w14:textId="77777777" w:rsidR="00F217AB" w:rsidRPr="00F217AB" w:rsidRDefault="00F217AB" w:rsidP="00F217AB">
            <w:pPr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>Other Costs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E34C7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FF0000"/>
                <w:szCs w:val="24"/>
              </w:rPr>
              <w:t>(1,050,603)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9EED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FF0000"/>
                <w:szCs w:val="24"/>
              </w:rPr>
              <w:t>(68,597)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D984" w14:textId="77777777" w:rsidR="00F217AB" w:rsidRPr="00F217AB" w:rsidRDefault="00F217AB" w:rsidP="00F217AB">
            <w:pPr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7A9D" w14:textId="77777777" w:rsidR="00F217AB" w:rsidRPr="00F217AB" w:rsidRDefault="00F217AB" w:rsidP="00F217AB">
            <w:pPr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B4D3" w14:textId="77777777" w:rsidR="00F217AB" w:rsidRPr="00F217AB" w:rsidRDefault="00F217AB" w:rsidP="00F217AB">
            <w:pPr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C9AF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FF0000"/>
                <w:szCs w:val="24"/>
              </w:rPr>
              <w:t>(1,119,200)</w:t>
            </w:r>
          </w:p>
        </w:tc>
      </w:tr>
      <w:tr w:rsidR="00F217AB" w:rsidRPr="00F217AB" w14:paraId="190C26CE" w14:textId="77777777" w:rsidTr="00F217AB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DF3F" w14:textId="77777777" w:rsidR="00F217AB" w:rsidRPr="00F217AB" w:rsidRDefault="00F217AB" w:rsidP="00F217AB">
            <w:pPr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>Staff Costs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D572A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FF0000"/>
                <w:szCs w:val="24"/>
              </w:rPr>
              <w:t>(2,512,693)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D9F3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FF0000"/>
                <w:szCs w:val="24"/>
              </w:rPr>
              <w:t>(316,757)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0422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89C8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 xml:space="preserve">422,437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9A30" w14:textId="77777777" w:rsidR="00F217AB" w:rsidRPr="00F217AB" w:rsidRDefault="00F217AB" w:rsidP="00F217AB">
            <w:pPr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3027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FF0000"/>
                <w:szCs w:val="24"/>
              </w:rPr>
              <w:t>(2,407,013)</w:t>
            </w:r>
          </w:p>
        </w:tc>
      </w:tr>
      <w:tr w:rsidR="00F217AB" w:rsidRPr="00F217AB" w14:paraId="0CCC6866" w14:textId="77777777" w:rsidTr="00F217AB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2397020" w14:textId="77777777" w:rsidR="00F217AB" w:rsidRPr="00F217AB" w:rsidRDefault="00F217AB" w:rsidP="00F217AB">
            <w:pPr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F217AB">
              <w:rPr>
                <w:rFonts w:ascii="Arial" w:hAnsi="Arial" w:cs="Arial"/>
                <w:b/>
                <w:bCs/>
                <w:color w:val="305496"/>
                <w:szCs w:val="24"/>
              </w:rPr>
              <w:t>Museums &amp; Galleries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708F3372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F217AB">
              <w:rPr>
                <w:rFonts w:ascii="Arial" w:hAnsi="Arial" w:cs="Arial"/>
                <w:b/>
                <w:bCs/>
                <w:color w:val="FF0000"/>
                <w:szCs w:val="24"/>
              </w:rPr>
              <w:t>(1,005,684)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0B5829E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F217AB">
              <w:rPr>
                <w:rFonts w:ascii="Arial" w:hAnsi="Arial" w:cs="Arial"/>
                <w:b/>
                <w:bCs/>
                <w:color w:val="FF0000"/>
                <w:szCs w:val="24"/>
              </w:rPr>
              <w:t>(128,755)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E60CF07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F217AB">
              <w:rPr>
                <w:rFonts w:ascii="Arial" w:hAnsi="Arial" w:cs="Arial"/>
                <w:b/>
                <w:bCs/>
                <w:color w:val="305496"/>
                <w:szCs w:val="24"/>
              </w:rPr>
              <w:t xml:space="preserve">33,203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2F2FB0A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F217AB">
              <w:rPr>
                <w:rFonts w:ascii="Arial" w:hAnsi="Arial" w:cs="Arial"/>
                <w:b/>
                <w:bCs/>
                <w:color w:val="305496"/>
                <w:szCs w:val="24"/>
              </w:rPr>
              <w:t xml:space="preserve">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E956AA7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F217AB">
              <w:rPr>
                <w:rFonts w:ascii="Arial" w:hAnsi="Arial" w:cs="Arial"/>
                <w:b/>
                <w:bCs/>
                <w:color w:val="305496"/>
                <w:szCs w:val="24"/>
              </w:rPr>
              <w:t xml:space="preserve">0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5294F1A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F217AB">
              <w:rPr>
                <w:rFonts w:ascii="Arial" w:hAnsi="Arial" w:cs="Arial"/>
                <w:b/>
                <w:bCs/>
                <w:color w:val="FF0000"/>
                <w:szCs w:val="24"/>
              </w:rPr>
              <w:t>(1,101,236)</w:t>
            </w:r>
          </w:p>
        </w:tc>
      </w:tr>
      <w:tr w:rsidR="00F217AB" w:rsidRPr="00F217AB" w14:paraId="7D86BF05" w14:textId="77777777" w:rsidTr="00F217AB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BD44" w14:textId="77777777" w:rsidR="00F217AB" w:rsidRPr="00F217AB" w:rsidRDefault="00F217AB" w:rsidP="00F217AB">
            <w:pPr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>Income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93A0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 xml:space="preserve">900,638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2443" w14:textId="77777777" w:rsidR="00F217AB" w:rsidRPr="00F217AB" w:rsidRDefault="00F217AB" w:rsidP="00F217AB">
            <w:pPr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EE97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 xml:space="preserve">87,055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DEF0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6CFD" w14:textId="77777777" w:rsidR="00F217AB" w:rsidRPr="00F217AB" w:rsidRDefault="00F217AB" w:rsidP="00F217AB">
            <w:pPr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EA8C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 xml:space="preserve">987,693 </w:t>
            </w:r>
          </w:p>
        </w:tc>
      </w:tr>
      <w:tr w:rsidR="00F217AB" w:rsidRPr="00F217AB" w14:paraId="55C61283" w14:textId="77777777" w:rsidTr="00F217AB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0B91" w14:textId="77777777" w:rsidR="00F217AB" w:rsidRPr="00F217AB" w:rsidRDefault="00F217AB" w:rsidP="00F217AB">
            <w:pPr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>Other Costs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7911F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FF0000"/>
                <w:szCs w:val="24"/>
              </w:rPr>
              <w:t>(559,058)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04C3" w14:textId="77777777" w:rsidR="00F217AB" w:rsidRPr="00F217AB" w:rsidRDefault="00F217AB" w:rsidP="00F217AB">
            <w:pPr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9705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FF0000"/>
                <w:szCs w:val="24"/>
              </w:rPr>
              <w:t>(53,852)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4228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B9DF" w14:textId="77777777" w:rsidR="00F217AB" w:rsidRPr="00F217AB" w:rsidRDefault="00F217AB" w:rsidP="00F217AB">
            <w:pPr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797B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FF0000"/>
                <w:szCs w:val="24"/>
              </w:rPr>
              <w:t>(612,910)</w:t>
            </w:r>
          </w:p>
        </w:tc>
      </w:tr>
      <w:tr w:rsidR="00F217AB" w:rsidRPr="00F217AB" w14:paraId="243795F3" w14:textId="77777777" w:rsidTr="00F217AB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1996" w14:textId="77777777" w:rsidR="00F217AB" w:rsidRPr="00F217AB" w:rsidRDefault="00F217AB" w:rsidP="00F217AB">
            <w:pPr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>Staff Costs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F5BD8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FF0000"/>
                <w:szCs w:val="24"/>
              </w:rPr>
              <w:t>(1,347,264)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4AD3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FF0000"/>
                <w:szCs w:val="24"/>
              </w:rPr>
              <w:t>(128,755)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8D4C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4DD6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F18B" w14:textId="77777777" w:rsidR="00F217AB" w:rsidRPr="00F217AB" w:rsidRDefault="00F217AB" w:rsidP="00F217AB">
            <w:pPr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436D" w14:textId="77777777" w:rsidR="00F217AB" w:rsidRPr="00F217AB" w:rsidRDefault="00F217AB" w:rsidP="00F217A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F217AB">
              <w:rPr>
                <w:rFonts w:ascii="Arial" w:hAnsi="Arial" w:cs="Arial"/>
                <w:color w:val="FF0000"/>
                <w:szCs w:val="24"/>
              </w:rPr>
              <w:t>(1,476,019)</w:t>
            </w:r>
          </w:p>
        </w:tc>
      </w:tr>
    </w:tbl>
    <w:p w14:paraId="270975D3" w14:textId="77777777" w:rsidR="00DA670D" w:rsidRDefault="00DA670D" w:rsidP="00610B8E">
      <w:pPr>
        <w:spacing w:after="200" w:line="276" w:lineRule="auto"/>
        <w:jc w:val="center"/>
      </w:pPr>
      <w:r>
        <w:t xml:space="preserve"> </w:t>
      </w:r>
    </w:p>
    <w:p w14:paraId="0C57E599" w14:textId="6093F421" w:rsidR="00DA670D" w:rsidRDefault="00DA670D" w:rsidP="00610B8E">
      <w:pPr>
        <w:spacing w:after="200" w:line="276" w:lineRule="auto"/>
        <w:jc w:val="center"/>
      </w:pPr>
    </w:p>
    <w:tbl>
      <w:tblPr>
        <w:tblW w:w="12340" w:type="dxa"/>
        <w:tblLook w:val="04A0" w:firstRow="1" w:lastRow="0" w:firstColumn="1" w:lastColumn="0" w:noHBand="0" w:noVBand="1"/>
      </w:tblPr>
      <w:tblGrid>
        <w:gridCol w:w="2410"/>
        <w:gridCol w:w="1640"/>
        <w:gridCol w:w="1600"/>
        <w:gridCol w:w="1440"/>
        <w:gridCol w:w="1550"/>
        <w:gridCol w:w="1420"/>
        <w:gridCol w:w="2280"/>
      </w:tblGrid>
      <w:tr w:rsidR="006E228F" w:rsidRPr="006E228F" w14:paraId="1CD0F316" w14:textId="77777777" w:rsidTr="006E228F">
        <w:trPr>
          <w:trHeight w:val="94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4067B" w14:textId="77777777" w:rsidR="006E228F" w:rsidRPr="006E228F" w:rsidRDefault="006E228F" w:rsidP="006E228F">
            <w:pPr>
              <w:rPr>
                <w:sz w:val="20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75C95BD8" w14:textId="77777777" w:rsidR="006E228F" w:rsidRPr="006E228F" w:rsidRDefault="006E228F" w:rsidP="006E228F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FFFFCC"/>
                <w:szCs w:val="24"/>
              </w:rPr>
              <w:t xml:space="preserve"> Budget (23/24)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8D57264" w14:textId="77777777" w:rsidR="006E228F" w:rsidRPr="006E228F" w:rsidRDefault="006E228F" w:rsidP="006E228F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FFFFCC"/>
                <w:szCs w:val="24"/>
              </w:rPr>
              <w:t xml:space="preserve"> Pressures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F924929" w14:textId="77777777" w:rsidR="006E228F" w:rsidRPr="006E228F" w:rsidRDefault="006E228F" w:rsidP="006E228F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FFFFCC"/>
                <w:szCs w:val="24"/>
              </w:rPr>
              <w:t xml:space="preserve"> Income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A0D73C6" w14:textId="77777777" w:rsidR="006E228F" w:rsidRPr="006E228F" w:rsidRDefault="006E228F" w:rsidP="006E228F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FFFFCC"/>
                <w:szCs w:val="24"/>
              </w:rPr>
              <w:t xml:space="preserve"> Efficiencies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11F5084" w14:textId="77777777" w:rsidR="006E228F" w:rsidRPr="006E228F" w:rsidRDefault="006E228F" w:rsidP="006E228F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FFFFCC"/>
                <w:szCs w:val="24"/>
              </w:rPr>
              <w:t>Financial Support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960ACC6" w14:textId="77777777" w:rsidR="006E228F" w:rsidRPr="006E228F" w:rsidRDefault="006E228F" w:rsidP="006E228F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FFFFCC"/>
                <w:szCs w:val="24"/>
              </w:rPr>
              <w:t xml:space="preserve"> Budget (24/25)</w:t>
            </w:r>
          </w:p>
        </w:tc>
      </w:tr>
      <w:tr w:rsidR="006E228F" w:rsidRPr="006E228F" w14:paraId="30F4180B" w14:textId="77777777" w:rsidTr="006E228F">
        <w:trPr>
          <w:trHeight w:val="31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70A4D97" w14:textId="77777777" w:rsidR="006E228F" w:rsidRPr="006E228F" w:rsidRDefault="006E228F" w:rsidP="006E228F">
            <w:pPr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305496"/>
                <w:szCs w:val="24"/>
              </w:rPr>
              <w:t>Music Tuition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014F4EFC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FF0000"/>
                <w:szCs w:val="24"/>
              </w:rPr>
              <w:t>(2,849,832)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A95C4B4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FF0000"/>
                <w:szCs w:val="24"/>
              </w:rPr>
              <w:t>(113,410)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EA81F35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FF0000"/>
                <w:szCs w:val="24"/>
              </w:rPr>
              <w:t>(151)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2C2162F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305496"/>
                <w:szCs w:val="24"/>
              </w:rPr>
              <w:t xml:space="preserve">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AD9F26C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305496"/>
                <w:szCs w:val="24"/>
              </w:rPr>
              <w:t xml:space="preserve">0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63601E9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FF0000"/>
                <w:szCs w:val="24"/>
              </w:rPr>
              <w:t>(2,963,393)</w:t>
            </w:r>
          </w:p>
        </w:tc>
      </w:tr>
      <w:tr w:rsidR="006E228F" w:rsidRPr="006E228F" w14:paraId="5E375908" w14:textId="77777777" w:rsidTr="006E228F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3404" w14:textId="77777777" w:rsidR="006E228F" w:rsidRPr="006E228F" w:rsidRDefault="006E228F" w:rsidP="006E228F">
            <w:pPr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>Income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74503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 xml:space="preserve">563,801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4979" w14:textId="77777777" w:rsidR="006E228F" w:rsidRPr="006E228F" w:rsidRDefault="006E228F" w:rsidP="006E228F">
            <w:pPr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8871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 xml:space="preserve">30,000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1698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79E4" w14:textId="77777777" w:rsidR="006E228F" w:rsidRPr="006E228F" w:rsidRDefault="006E228F" w:rsidP="006E228F">
            <w:pPr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1444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 xml:space="preserve">593,801 </w:t>
            </w:r>
          </w:p>
        </w:tc>
      </w:tr>
      <w:tr w:rsidR="006E228F" w:rsidRPr="006E228F" w14:paraId="528B2D7B" w14:textId="77777777" w:rsidTr="006E228F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6A11" w14:textId="77777777" w:rsidR="006E228F" w:rsidRPr="006E228F" w:rsidRDefault="006E228F" w:rsidP="006E228F">
            <w:pPr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>Other Costs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4BFB4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FF0000"/>
                <w:szCs w:val="24"/>
              </w:rPr>
              <w:t>(413,356)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38B3" w14:textId="77777777" w:rsidR="006E228F" w:rsidRPr="006E228F" w:rsidRDefault="006E228F" w:rsidP="006E228F">
            <w:pPr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22D7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FF0000"/>
                <w:szCs w:val="24"/>
              </w:rPr>
              <w:t>(30,151)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56A9" w14:textId="77777777" w:rsidR="006E228F" w:rsidRPr="006E228F" w:rsidRDefault="006E228F" w:rsidP="006E228F">
            <w:pPr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9951" w14:textId="77777777" w:rsidR="006E228F" w:rsidRPr="006E228F" w:rsidRDefault="006E228F" w:rsidP="006E228F">
            <w:pPr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7F16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FF0000"/>
                <w:szCs w:val="24"/>
              </w:rPr>
              <w:t>(443,507)</w:t>
            </w:r>
          </w:p>
        </w:tc>
      </w:tr>
      <w:tr w:rsidR="006E228F" w:rsidRPr="006E228F" w14:paraId="3DB0A640" w14:textId="77777777" w:rsidTr="006E228F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B441" w14:textId="77777777" w:rsidR="006E228F" w:rsidRPr="006E228F" w:rsidRDefault="006E228F" w:rsidP="006E228F">
            <w:pPr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>Staff Costs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C0305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FF0000"/>
                <w:szCs w:val="24"/>
              </w:rPr>
              <w:t>(3,000,277)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B5C1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FF0000"/>
                <w:szCs w:val="24"/>
              </w:rPr>
              <w:t>(113,410)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65E9" w14:textId="77777777" w:rsidR="006E228F" w:rsidRPr="006E228F" w:rsidRDefault="006E228F" w:rsidP="006E228F">
            <w:pPr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6958" w14:textId="77777777" w:rsidR="006E228F" w:rsidRPr="006E228F" w:rsidRDefault="006E228F" w:rsidP="006E228F">
            <w:pPr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3CAB" w14:textId="77777777" w:rsidR="006E228F" w:rsidRPr="006E228F" w:rsidRDefault="006E228F" w:rsidP="006E228F">
            <w:pPr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54F3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FF0000"/>
                <w:szCs w:val="24"/>
              </w:rPr>
              <w:t>(3,113,687)</w:t>
            </w:r>
          </w:p>
        </w:tc>
      </w:tr>
      <w:tr w:rsidR="006E228F" w:rsidRPr="006E228F" w14:paraId="137A32AD" w14:textId="77777777" w:rsidTr="006E228F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CE6B307" w14:textId="77777777" w:rsidR="006E228F" w:rsidRPr="006E228F" w:rsidRDefault="006E228F" w:rsidP="006E228F">
            <w:pPr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305496"/>
                <w:szCs w:val="24"/>
              </w:rPr>
              <w:t>Rangers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796EDBD8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FF0000"/>
                <w:szCs w:val="24"/>
              </w:rPr>
              <w:t>(465,589)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CF4F88A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FF0000"/>
                <w:szCs w:val="24"/>
              </w:rPr>
              <w:t>(28,797)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CEF7E67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FF0000"/>
                <w:szCs w:val="24"/>
              </w:rPr>
              <w:t>(8,284)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AD11F12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305496"/>
                <w:szCs w:val="24"/>
              </w:rPr>
              <w:t xml:space="preserve">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3A1AD5C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305496"/>
                <w:szCs w:val="24"/>
              </w:rPr>
              <w:t xml:space="preserve">0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C8488A0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FF0000"/>
                <w:szCs w:val="24"/>
              </w:rPr>
              <w:t>(502,670)</w:t>
            </w:r>
          </w:p>
        </w:tc>
      </w:tr>
      <w:tr w:rsidR="006E228F" w:rsidRPr="006E228F" w14:paraId="456293D5" w14:textId="77777777" w:rsidTr="006E228F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D470" w14:textId="77777777" w:rsidR="006E228F" w:rsidRPr="006E228F" w:rsidRDefault="006E228F" w:rsidP="006E228F">
            <w:pPr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>Income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0B25E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 xml:space="preserve">91,784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8649" w14:textId="77777777" w:rsidR="006E228F" w:rsidRPr="006E228F" w:rsidRDefault="006E228F" w:rsidP="006E228F">
            <w:pPr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5299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FF0000"/>
                <w:szCs w:val="24"/>
              </w:rPr>
              <w:t>(8,284)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7447" w14:textId="77777777" w:rsidR="006E228F" w:rsidRPr="006E228F" w:rsidRDefault="006E228F" w:rsidP="006E228F">
            <w:pPr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8037" w14:textId="77777777" w:rsidR="006E228F" w:rsidRPr="006E228F" w:rsidRDefault="006E228F" w:rsidP="006E228F">
            <w:pPr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8F34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 xml:space="preserve">83,500 </w:t>
            </w:r>
          </w:p>
        </w:tc>
      </w:tr>
      <w:tr w:rsidR="006E228F" w:rsidRPr="006E228F" w14:paraId="69E2F856" w14:textId="77777777" w:rsidTr="006E228F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3954" w14:textId="77777777" w:rsidR="006E228F" w:rsidRPr="006E228F" w:rsidRDefault="006E228F" w:rsidP="006E228F">
            <w:pPr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>Other Costs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A3B63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FF0000"/>
                <w:szCs w:val="24"/>
              </w:rPr>
              <w:t>(45,120)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FFC8" w14:textId="77777777" w:rsidR="006E228F" w:rsidRPr="006E228F" w:rsidRDefault="006E228F" w:rsidP="006E228F">
            <w:pPr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8C0C" w14:textId="77777777" w:rsidR="006E228F" w:rsidRPr="006E228F" w:rsidRDefault="006E228F" w:rsidP="006E228F">
            <w:pPr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93E1" w14:textId="77777777" w:rsidR="006E228F" w:rsidRPr="006E228F" w:rsidRDefault="006E228F" w:rsidP="006E228F">
            <w:pPr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11C0" w14:textId="77777777" w:rsidR="006E228F" w:rsidRPr="006E228F" w:rsidRDefault="006E228F" w:rsidP="006E228F">
            <w:pPr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EBFD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FF0000"/>
                <w:szCs w:val="24"/>
              </w:rPr>
              <w:t>(45,120)</w:t>
            </w:r>
          </w:p>
        </w:tc>
      </w:tr>
      <w:tr w:rsidR="006E228F" w:rsidRPr="006E228F" w14:paraId="22946D8D" w14:textId="77777777" w:rsidTr="006E228F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FA9F" w14:textId="77777777" w:rsidR="006E228F" w:rsidRPr="006E228F" w:rsidRDefault="006E228F" w:rsidP="006E228F">
            <w:pPr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>Staff Costs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47783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FF0000"/>
                <w:szCs w:val="24"/>
              </w:rPr>
              <w:t>(512,253)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9696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FF0000"/>
                <w:szCs w:val="24"/>
              </w:rPr>
              <w:t>(28,797)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C29A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33B5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9592" w14:textId="77777777" w:rsidR="006E228F" w:rsidRPr="006E228F" w:rsidRDefault="006E228F" w:rsidP="006E228F">
            <w:pPr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F4C1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FF0000"/>
                <w:szCs w:val="24"/>
              </w:rPr>
              <w:t>(541,050)</w:t>
            </w:r>
          </w:p>
        </w:tc>
      </w:tr>
      <w:tr w:rsidR="006E228F" w:rsidRPr="006E228F" w14:paraId="5A065D2C" w14:textId="77777777" w:rsidTr="006E228F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33B811B" w14:textId="77777777" w:rsidR="006E228F" w:rsidRPr="006E228F" w:rsidRDefault="006E228F" w:rsidP="006E228F">
            <w:pPr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305496"/>
                <w:szCs w:val="24"/>
              </w:rPr>
              <w:t>Sports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0CD4BC35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FF0000"/>
                <w:szCs w:val="24"/>
              </w:rPr>
              <w:t>(637,596)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844F719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FF0000"/>
                <w:szCs w:val="24"/>
              </w:rPr>
              <w:t>(125,074)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8C85C9C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305496"/>
                <w:szCs w:val="24"/>
              </w:rPr>
              <w:t xml:space="preserve">20,995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995C767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305496"/>
                <w:szCs w:val="24"/>
              </w:rPr>
              <w:t xml:space="preserve">1,000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20FA87D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305496"/>
                <w:szCs w:val="24"/>
              </w:rPr>
              <w:t xml:space="preserve">0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DBF96BC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FF0000"/>
                <w:szCs w:val="24"/>
              </w:rPr>
              <w:t>(740,675)</w:t>
            </w:r>
          </w:p>
        </w:tc>
      </w:tr>
      <w:tr w:rsidR="006E228F" w:rsidRPr="006E228F" w14:paraId="3C199F91" w14:textId="77777777" w:rsidTr="006E228F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47A3" w14:textId="77777777" w:rsidR="006E228F" w:rsidRPr="006E228F" w:rsidRDefault="006E228F" w:rsidP="006E228F">
            <w:pPr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>Income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60C36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 xml:space="preserve">1,152,912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3ED9" w14:textId="77777777" w:rsidR="006E228F" w:rsidRPr="006E228F" w:rsidRDefault="006E228F" w:rsidP="006E228F">
            <w:pPr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CC65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 xml:space="preserve">20,995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160F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0F58" w14:textId="77777777" w:rsidR="006E228F" w:rsidRPr="006E228F" w:rsidRDefault="006E228F" w:rsidP="006E228F">
            <w:pPr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9143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 xml:space="preserve">1,173,907 </w:t>
            </w:r>
          </w:p>
        </w:tc>
      </w:tr>
      <w:tr w:rsidR="006E228F" w:rsidRPr="006E228F" w14:paraId="6BCD40B3" w14:textId="77777777" w:rsidTr="006E228F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4AA1" w14:textId="77777777" w:rsidR="006E228F" w:rsidRPr="006E228F" w:rsidRDefault="006E228F" w:rsidP="006E228F">
            <w:pPr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>Other Costs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ACADE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FF0000"/>
                <w:szCs w:val="24"/>
              </w:rPr>
              <w:t>(108,271)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9252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2E4E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29FE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 xml:space="preserve">1,000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F64D" w14:textId="77777777" w:rsidR="006E228F" w:rsidRPr="006E228F" w:rsidRDefault="006E228F" w:rsidP="006E228F">
            <w:pPr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D0A5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FF0000"/>
                <w:szCs w:val="24"/>
              </w:rPr>
              <w:t>(107,271)</w:t>
            </w:r>
          </w:p>
        </w:tc>
      </w:tr>
      <w:tr w:rsidR="006E228F" w:rsidRPr="006E228F" w14:paraId="34D98351" w14:textId="77777777" w:rsidTr="006E228F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0F69" w14:textId="77777777" w:rsidR="006E228F" w:rsidRPr="006E228F" w:rsidRDefault="006E228F" w:rsidP="006E228F">
            <w:pPr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>Staff Costs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3F6B3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FF0000"/>
                <w:szCs w:val="24"/>
              </w:rPr>
              <w:t>(1,682,237)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1CC7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FF0000"/>
                <w:szCs w:val="24"/>
              </w:rPr>
              <w:t>(125,074)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B969" w14:textId="77777777" w:rsidR="006E228F" w:rsidRPr="006E228F" w:rsidRDefault="006E228F" w:rsidP="006E228F">
            <w:pPr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D70D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C265" w14:textId="77777777" w:rsidR="006E228F" w:rsidRPr="006E228F" w:rsidRDefault="006E228F" w:rsidP="006E228F">
            <w:pPr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9122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FF0000"/>
                <w:szCs w:val="24"/>
              </w:rPr>
              <w:t>(1,807,311)</w:t>
            </w:r>
          </w:p>
        </w:tc>
      </w:tr>
      <w:tr w:rsidR="006E228F" w:rsidRPr="006E228F" w14:paraId="29444D73" w14:textId="77777777" w:rsidTr="006E228F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78F9C96" w14:textId="77777777" w:rsidR="006E228F" w:rsidRPr="006E228F" w:rsidRDefault="006E228F" w:rsidP="006E228F">
            <w:pPr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305496"/>
                <w:szCs w:val="24"/>
              </w:rPr>
              <w:t>Youthwork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7B76D804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FF0000"/>
                <w:szCs w:val="24"/>
              </w:rPr>
              <w:t>(1,849,298)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94A1421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FF0000"/>
                <w:szCs w:val="24"/>
              </w:rPr>
              <w:t>(238,927)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9F3076F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305496"/>
                <w:szCs w:val="24"/>
              </w:rPr>
              <w:t xml:space="preserve">88,786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B71182D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305496"/>
                <w:szCs w:val="24"/>
              </w:rPr>
              <w:t xml:space="preserve">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CB92A93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305496"/>
                <w:szCs w:val="24"/>
              </w:rPr>
              <w:t xml:space="preserve">0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6A31408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FF0000"/>
                <w:szCs w:val="24"/>
              </w:rPr>
              <w:t>(1,999,439)</w:t>
            </w:r>
          </w:p>
        </w:tc>
      </w:tr>
      <w:tr w:rsidR="006E228F" w:rsidRPr="006E228F" w14:paraId="0CDE85A6" w14:textId="77777777" w:rsidTr="006E228F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06C0" w14:textId="77777777" w:rsidR="006E228F" w:rsidRPr="006E228F" w:rsidRDefault="006E228F" w:rsidP="006E228F">
            <w:pPr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>Income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BC2A7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 xml:space="preserve">39,892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3E68" w14:textId="77777777" w:rsidR="006E228F" w:rsidRPr="006E228F" w:rsidRDefault="006E228F" w:rsidP="006E228F">
            <w:pPr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0F66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 xml:space="preserve">88,786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7A06" w14:textId="77777777" w:rsidR="006E228F" w:rsidRPr="006E228F" w:rsidRDefault="006E228F" w:rsidP="006E228F">
            <w:pPr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F3F9" w14:textId="77777777" w:rsidR="006E228F" w:rsidRPr="006E228F" w:rsidRDefault="006E228F" w:rsidP="006E228F">
            <w:pPr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6F59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 xml:space="preserve">128,678 </w:t>
            </w:r>
          </w:p>
        </w:tc>
      </w:tr>
      <w:tr w:rsidR="006E228F" w:rsidRPr="006E228F" w14:paraId="56EE026C" w14:textId="77777777" w:rsidTr="006E228F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DC63" w14:textId="77777777" w:rsidR="006E228F" w:rsidRPr="006E228F" w:rsidRDefault="006E228F" w:rsidP="006E228F">
            <w:pPr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>Other Costs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ACD0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FF0000"/>
                <w:szCs w:val="24"/>
              </w:rPr>
              <w:t>(91,273)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8228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FF0000"/>
                <w:szCs w:val="24"/>
              </w:rPr>
              <w:t>(8,831)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DCCD" w14:textId="77777777" w:rsidR="006E228F" w:rsidRPr="006E228F" w:rsidRDefault="006E228F" w:rsidP="006E228F">
            <w:pPr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54A6" w14:textId="77777777" w:rsidR="006E228F" w:rsidRPr="006E228F" w:rsidRDefault="006E228F" w:rsidP="006E228F">
            <w:pPr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5CA4" w14:textId="77777777" w:rsidR="006E228F" w:rsidRPr="006E228F" w:rsidRDefault="006E228F" w:rsidP="006E228F">
            <w:pPr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CE7A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FF0000"/>
                <w:szCs w:val="24"/>
              </w:rPr>
              <w:t>(100,104)</w:t>
            </w:r>
          </w:p>
        </w:tc>
      </w:tr>
      <w:tr w:rsidR="006E228F" w:rsidRPr="006E228F" w14:paraId="2A142854" w14:textId="77777777" w:rsidTr="006E228F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DCDA" w14:textId="77777777" w:rsidR="006E228F" w:rsidRPr="006E228F" w:rsidRDefault="006E228F" w:rsidP="006E228F">
            <w:pPr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>Staff Costs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85516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FF0000"/>
                <w:szCs w:val="24"/>
              </w:rPr>
              <w:t>(1,797,917)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082E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FF0000"/>
                <w:szCs w:val="24"/>
              </w:rPr>
              <w:t>(230,096)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A8B9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9D24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6968" w14:textId="77777777" w:rsidR="006E228F" w:rsidRPr="006E228F" w:rsidRDefault="006E228F" w:rsidP="006E228F">
            <w:pPr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BA62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FF0000"/>
                <w:szCs w:val="24"/>
              </w:rPr>
              <w:t>(2,028,013)</w:t>
            </w:r>
          </w:p>
        </w:tc>
      </w:tr>
      <w:tr w:rsidR="006E228F" w:rsidRPr="006E228F" w14:paraId="76D713EB" w14:textId="77777777" w:rsidTr="006E228F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25BF97A" w14:textId="77777777" w:rsidR="006E228F" w:rsidRPr="006E228F" w:rsidRDefault="006E228F" w:rsidP="006E228F">
            <w:pPr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305496"/>
                <w:szCs w:val="24"/>
              </w:rPr>
              <w:t>Service Fee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7D7EAACA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305496"/>
                <w:szCs w:val="24"/>
              </w:rPr>
              <w:t xml:space="preserve">16,073,339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F6AEFAE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305496"/>
                <w:szCs w:val="24"/>
              </w:rPr>
              <w:t xml:space="preserve">0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479E06B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305496"/>
                <w:szCs w:val="24"/>
              </w:rPr>
              <w:t xml:space="preserve">573,000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2A34C9B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305496"/>
                <w:szCs w:val="24"/>
              </w:rPr>
              <w:t xml:space="preserve">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DBE80B8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305496"/>
                <w:szCs w:val="24"/>
              </w:rPr>
              <w:t xml:space="preserve">0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05CE557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305496"/>
                <w:szCs w:val="24"/>
              </w:rPr>
              <w:t xml:space="preserve">16,646,339 </w:t>
            </w:r>
          </w:p>
        </w:tc>
      </w:tr>
      <w:tr w:rsidR="006E228F" w:rsidRPr="006E228F" w14:paraId="5EBB47B0" w14:textId="77777777" w:rsidTr="006E228F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0BFE" w14:textId="77777777" w:rsidR="006E228F" w:rsidRPr="006E228F" w:rsidRDefault="006E228F" w:rsidP="006E228F">
            <w:pPr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>Income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DF38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 xml:space="preserve">16,073,339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6047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6413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 xml:space="preserve">573,000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1667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3DAB" w14:textId="77777777" w:rsidR="006E228F" w:rsidRPr="006E228F" w:rsidRDefault="006E228F" w:rsidP="006E228F">
            <w:pPr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9134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 xml:space="preserve">16,646,339 </w:t>
            </w:r>
          </w:p>
        </w:tc>
      </w:tr>
      <w:tr w:rsidR="006E228F" w:rsidRPr="006E228F" w14:paraId="5C0612F3" w14:textId="77777777" w:rsidTr="006E228F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BA15EF" w14:textId="77777777" w:rsidR="006E228F" w:rsidRPr="006E228F" w:rsidRDefault="006E228F" w:rsidP="006E228F">
            <w:pPr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305496"/>
                <w:szCs w:val="24"/>
              </w:rPr>
              <w:t>Financial Support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6AE85A59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305496"/>
                <w:szCs w:val="24"/>
              </w:rPr>
              <w:t xml:space="preserve">2,998,748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EDEF114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FF0000"/>
                <w:szCs w:val="24"/>
              </w:rPr>
              <w:t>(2,998,748)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9D38A11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305496"/>
                <w:szCs w:val="24"/>
              </w:rPr>
              <w:t xml:space="preserve">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364AD7B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305496"/>
                <w:szCs w:val="24"/>
              </w:rPr>
              <w:t xml:space="preserve">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860128A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305496"/>
                <w:szCs w:val="24"/>
              </w:rPr>
              <w:t xml:space="preserve">2,764,000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8B3FD37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305496"/>
                <w:szCs w:val="24"/>
              </w:rPr>
              <w:t xml:space="preserve">2,764,000 </w:t>
            </w:r>
          </w:p>
        </w:tc>
      </w:tr>
      <w:tr w:rsidR="006E228F" w:rsidRPr="006E228F" w14:paraId="6FA91E0B" w14:textId="77777777" w:rsidTr="006E228F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EAA9" w14:textId="77777777" w:rsidR="006E228F" w:rsidRPr="006E228F" w:rsidRDefault="006E228F" w:rsidP="006E228F">
            <w:pPr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>Income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554B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 xml:space="preserve">2,998,748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20D8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FF0000"/>
                <w:szCs w:val="24"/>
              </w:rPr>
              <w:t>(2,998,748)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EF63" w14:textId="77777777" w:rsidR="006E228F" w:rsidRPr="006E228F" w:rsidRDefault="006E228F" w:rsidP="006E228F">
            <w:pPr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789D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FC19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 xml:space="preserve">2,764,000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157D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E228F">
              <w:rPr>
                <w:rFonts w:ascii="Arial" w:hAnsi="Arial" w:cs="Arial"/>
                <w:color w:val="000000"/>
                <w:szCs w:val="24"/>
              </w:rPr>
              <w:t xml:space="preserve">2,764,000 </w:t>
            </w:r>
          </w:p>
        </w:tc>
      </w:tr>
      <w:tr w:rsidR="006E228F" w:rsidRPr="006E228F" w14:paraId="475AB248" w14:textId="77777777" w:rsidTr="006E228F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F290B2" w14:textId="77777777" w:rsidR="006E228F" w:rsidRPr="006E228F" w:rsidRDefault="006E228F" w:rsidP="006E228F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000000"/>
                <w:szCs w:val="24"/>
              </w:rPr>
              <w:t>Surplus/(Deficit)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5A5CA85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56F93A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FF0000"/>
                <w:szCs w:val="24"/>
              </w:rPr>
              <w:t>(4,938,159)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A406A7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1,698,330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A013AD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475,829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1FB9F9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2,764,000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2E7567" w14:textId="77777777" w:rsidR="006E228F" w:rsidRPr="006E228F" w:rsidRDefault="006E228F" w:rsidP="006E228F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E228F">
              <w:rPr>
                <w:rFonts w:ascii="Arial" w:hAnsi="Arial" w:cs="Arial"/>
                <w:b/>
                <w:bCs/>
                <w:color w:val="FF0000"/>
                <w:szCs w:val="24"/>
              </w:rPr>
              <w:t>(0)</w:t>
            </w:r>
          </w:p>
        </w:tc>
      </w:tr>
    </w:tbl>
    <w:p w14:paraId="58A2722C" w14:textId="1FB8EF0E" w:rsidR="000B1BAC" w:rsidRDefault="00DA670D" w:rsidP="00610B8E">
      <w:pPr>
        <w:spacing w:after="200" w:line="276" w:lineRule="auto"/>
        <w:jc w:val="center"/>
        <w:rPr>
          <w:sz w:val="20"/>
        </w:rPr>
      </w:pPr>
      <w:r>
        <w:t xml:space="preserve"> </w:t>
      </w:r>
      <w:r w:rsidR="000B1BAC">
        <w:fldChar w:fldCharType="begin"/>
      </w:r>
      <w:r w:rsidR="000B1BAC">
        <w:instrText xml:space="preserve"> LINK Excel.Sheet.12 "Book4" "Sheet4!R1C1:R25C4" \a \f 4 \h </w:instrText>
      </w:r>
      <w:r w:rsidR="000B1BAC">
        <w:fldChar w:fldCharType="separate"/>
      </w:r>
    </w:p>
    <w:p w14:paraId="7F291523" w14:textId="79B5E14E" w:rsidR="000B1BAC" w:rsidRDefault="000B1BAC" w:rsidP="00610B8E">
      <w:pPr>
        <w:spacing w:after="200" w:line="276" w:lineRule="auto"/>
        <w:jc w:val="center"/>
      </w:pPr>
      <w:r>
        <w:fldChar w:fldCharType="end"/>
      </w:r>
    </w:p>
    <w:p w14:paraId="19EFF63B" w14:textId="25C60802" w:rsidR="00E5423E" w:rsidRDefault="00E5423E" w:rsidP="00610B8E">
      <w:pPr>
        <w:spacing w:after="200" w:line="276" w:lineRule="auto"/>
        <w:jc w:val="center"/>
      </w:pPr>
    </w:p>
    <w:p w14:paraId="7E72EDF3" w14:textId="24C1D959" w:rsidR="007B5F48" w:rsidRDefault="007B5F48" w:rsidP="003D3C03">
      <w:pPr>
        <w:spacing w:after="200" w:line="276" w:lineRule="auto"/>
        <w:jc w:val="right"/>
        <w:rPr>
          <w:rFonts w:ascii="Arial" w:hAnsi="Arial" w:cs="Arial"/>
          <w:b/>
          <w:szCs w:val="24"/>
          <w:highlight w:val="yellow"/>
        </w:rPr>
        <w:sectPr w:rsidR="007B5F48" w:rsidSect="007A7040">
          <w:pgSz w:w="16838" w:h="11906" w:orient="landscape" w:code="9"/>
          <w:pgMar w:top="992" w:right="992" w:bottom="567" w:left="851" w:header="720" w:footer="720" w:gutter="0"/>
          <w:cols w:space="720"/>
          <w:docGrid w:linePitch="326"/>
        </w:sectPr>
      </w:pPr>
    </w:p>
    <w:p w14:paraId="1A1F6C2E" w14:textId="4DC9EA80" w:rsidR="004F57A9" w:rsidRDefault="00950E0C" w:rsidP="00A2178B">
      <w:pPr>
        <w:spacing w:before="86"/>
        <w:ind w:left="72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PRESSURES AND </w:t>
      </w:r>
      <w:r w:rsidRPr="002A22DD">
        <w:rPr>
          <w:rFonts w:ascii="Arial" w:hAnsi="Arial" w:cs="Arial"/>
          <w:b/>
          <w:szCs w:val="24"/>
        </w:rPr>
        <w:t xml:space="preserve">SAVINGS                        </w:t>
      </w:r>
      <w:r w:rsidR="00600CC8" w:rsidRPr="002A22DD">
        <w:rPr>
          <w:rFonts w:ascii="Arial" w:hAnsi="Arial" w:cs="Arial"/>
          <w:b/>
          <w:szCs w:val="24"/>
        </w:rPr>
        <w:t xml:space="preserve">                                            </w:t>
      </w:r>
      <w:r w:rsidR="00CF0BFC" w:rsidRPr="002A22DD">
        <w:rPr>
          <w:rFonts w:ascii="Arial" w:hAnsi="Arial" w:cs="Arial"/>
          <w:b/>
          <w:szCs w:val="24"/>
        </w:rPr>
        <w:t xml:space="preserve">  </w:t>
      </w:r>
      <w:r w:rsidR="00600CC8" w:rsidRPr="002A22DD">
        <w:rPr>
          <w:rFonts w:ascii="Arial" w:hAnsi="Arial" w:cs="Arial"/>
          <w:b/>
          <w:szCs w:val="24"/>
        </w:rPr>
        <w:t xml:space="preserve">    APPENDIX B</w:t>
      </w:r>
    </w:p>
    <w:p w14:paraId="0DF31B8C" w14:textId="77777777" w:rsidR="00CF0BFC" w:rsidRPr="00600CC8" w:rsidRDefault="00CF0BFC" w:rsidP="00A2178B">
      <w:pPr>
        <w:spacing w:before="86"/>
        <w:ind w:left="72"/>
        <w:rPr>
          <w:rFonts w:ascii="Arial" w:hAnsi="Arial" w:cs="Arial"/>
          <w:b/>
          <w:szCs w:val="24"/>
        </w:rPr>
      </w:pPr>
    </w:p>
    <w:p w14:paraId="182E75F2" w14:textId="77777777" w:rsidR="004F57A9" w:rsidRPr="0018607E" w:rsidRDefault="004F57A9" w:rsidP="0018607E">
      <w:pPr>
        <w:rPr>
          <w:rFonts w:ascii="Arial" w:eastAsia="Calibri" w:hAnsi="Arial" w:cs="Arial"/>
          <w:sz w:val="18"/>
          <w:lang w:eastAsia="en-US"/>
        </w:rPr>
      </w:pPr>
    </w:p>
    <w:tbl>
      <w:tblPr>
        <w:tblW w:w="9100" w:type="dxa"/>
        <w:tblLook w:val="04A0" w:firstRow="1" w:lastRow="0" w:firstColumn="1" w:lastColumn="0" w:noHBand="0" w:noVBand="1"/>
      </w:tblPr>
      <w:tblGrid>
        <w:gridCol w:w="7560"/>
        <w:gridCol w:w="1540"/>
      </w:tblGrid>
      <w:tr w:rsidR="002A22DD" w:rsidRPr="002A22DD" w14:paraId="5EAD3AD9" w14:textId="77777777" w:rsidTr="002A22DD">
        <w:trPr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9B16BEE" w14:textId="77777777" w:rsidR="002A22DD" w:rsidRPr="002A22DD" w:rsidRDefault="002A22DD" w:rsidP="002A22DD">
            <w:pPr>
              <w:jc w:val="center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2A22DD">
              <w:rPr>
                <w:rFonts w:ascii="Arial" w:hAnsi="Arial" w:cs="Arial"/>
                <w:b/>
                <w:bCs/>
                <w:color w:val="305496"/>
                <w:szCs w:val="24"/>
              </w:rPr>
              <w:t>Pressures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36867116" w14:textId="77777777" w:rsidR="002A22DD" w:rsidRPr="002A22DD" w:rsidRDefault="002A22DD" w:rsidP="002A22DD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2A22DD">
              <w:rPr>
                <w:rFonts w:ascii="Arial" w:hAnsi="Arial" w:cs="Arial"/>
                <w:b/>
                <w:bCs/>
                <w:color w:val="FFFFCC"/>
                <w:szCs w:val="24"/>
              </w:rPr>
              <w:t>£</w:t>
            </w:r>
          </w:p>
        </w:tc>
      </w:tr>
      <w:tr w:rsidR="002A22DD" w:rsidRPr="002A22DD" w14:paraId="41BA2775" w14:textId="77777777" w:rsidTr="002A22DD">
        <w:trPr>
          <w:trHeight w:val="3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7937" w14:textId="77777777" w:rsidR="002A22DD" w:rsidRPr="002A22DD" w:rsidRDefault="002A22DD" w:rsidP="002A22DD">
            <w:pPr>
              <w:rPr>
                <w:rFonts w:ascii="Arial" w:hAnsi="Arial" w:cs="Arial"/>
                <w:color w:val="000000"/>
                <w:szCs w:val="24"/>
              </w:rPr>
            </w:pPr>
            <w:r w:rsidRPr="002A22DD">
              <w:rPr>
                <w:rFonts w:ascii="Arial" w:hAnsi="Arial" w:cs="Arial"/>
                <w:color w:val="000000"/>
                <w:szCs w:val="24"/>
              </w:rPr>
              <w:t>Residual Funding Gap (23/24)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F96A" w14:textId="77777777" w:rsidR="002A22DD" w:rsidRPr="002A22DD" w:rsidRDefault="002A22DD" w:rsidP="002A22DD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2A22DD">
              <w:rPr>
                <w:rFonts w:ascii="Arial" w:hAnsi="Arial" w:cs="Arial"/>
                <w:color w:val="000000"/>
                <w:szCs w:val="24"/>
              </w:rPr>
              <w:t xml:space="preserve">2,998,748 </w:t>
            </w:r>
          </w:p>
        </w:tc>
      </w:tr>
      <w:tr w:rsidR="002A22DD" w:rsidRPr="002A22DD" w14:paraId="3A5F5F93" w14:textId="77777777" w:rsidTr="002A22DD">
        <w:trPr>
          <w:trHeight w:val="3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8614" w14:textId="77777777" w:rsidR="002A22DD" w:rsidRPr="002A22DD" w:rsidRDefault="002A22DD" w:rsidP="002A22DD">
            <w:pPr>
              <w:rPr>
                <w:rFonts w:ascii="Arial" w:hAnsi="Arial" w:cs="Arial"/>
                <w:color w:val="000000"/>
                <w:szCs w:val="24"/>
              </w:rPr>
            </w:pPr>
            <w:r w:rsidRPr="002A22DD">
              <w:rPr>
                <w:rFonts w:ascii="Arial" w:hAnsi="Arial" w:cs="Arial"/>
                <w:color w:val="000000"/>
                <w:szCs w:val="24"/>
              </w:rPr>
              <w:t>Unbudgeted Staff Pay Award (23/24)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6730" w14:textId="77777777" w:rsidR="002A22DD" w:rsidRPr="002A22DD" w:rsidRDefault="002A22DD" w:rsidP="002A22DD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2A22DD">
              <w:rPr>
                <w:rFonts w:ascii="Arial" w:hAnsi="Arial" w:cs="Arial"/>
                <w:color w:val="000000"/>
                <w:szCs w:val="24"/>
              </w:rPr>
              <w:t xml:space="preserve">1,121,983 </w:t>
            </w:r>
          </w:p>
        </w:tc>
      </w:tr>
      <w:tr w:rsidR="002A22DD" w:rsidRPr="002A22DD" w14:paraId="77A415B2" w14:textId="77777777" w:rsidTr="002A22DD">
        <w:trPr>
          <w:trHeight w:val="3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5AA6" w14:textId="3AD5D9F1" w:rsidR="002A22DD" w:rsidRPr="002A22DD" w:rsidRDefault="002A22DD" w:rsidP="002A22DD">
            <w:pPr>
              <w:rPr>
                <w:rFonts w:ascii="Arial" w:hAnsi="Arial" w:cs="Arial"/>
                <w:color w:val="000000"/>
                <w:szCs w:val="24"/>
              </w:rPr>
            </w:pPr>
            <w:r w:rsidRPr="002A22DD">
              <w:rPr>
                <w:rFonts w:ascii="Arial" w:hAnsi="Arial" w:cs="Arial"/>
                <w:color w:val="000000"/>
                <w:szCs w:val="24"/>
              </w:rPr>
              <w:t>Staff Pay Award (24/2</w:t>
            </w:r>
            <w:r w:rsidR="0004740E">
              <w:rPr>
                <w:rFonts w:ascii="Arial" w:hAnsi="Arial" w:cs="Arial"/>
                <w:color w:val="000000"/>
                <w:szCs w:val="24"/>
              </w:rPr>
              <w:t>5</w:t>
            </w:r>
            <w:r w:rsidRPr="002A22DD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80C0" w14:textId="77777777" w:rsidR="002A22DD" w:rsidRPr="002A22DD" w:rsidRDefault="002A22DD" w:rsidP="002A22DD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2A22DD">
              <w:rPr>
                <w:rFonts w:ascii="Arial" w:hAnsi="Arial" w:cs="Arial"/>
                <w:color w:val="000000"/>
                <w:szCs w:val="24"/>
              </w:rPr>
              <w:t xml:space="preserve">573,000 </w:t>
            </w:r>
          </w:p>
        </w:tc>
      </w:tr>
      <w:tr w:rsidR="002A22DD" w:rsidRPr="002A22DD" w14:paraId="4F31369A" w14:textId="77777777" w:rsidTr="002A22DD">
        <w:trPr>
          <w:trHeight w:val="3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4699" w14:textId="77777777" w:rsidR="002A22DD" w:rsidRPr="002A22DD" w:rsidRDefault="002A22DD" w:rsidP="002A22DD">
            <w:pPr>
              <w:rPr>
                <w:rFonts w:ascii="Arial" w:hAnsi="Arial" w:cs="Arial"/>
                <w:color w:val="000000"/>
                <w:szCs w:val="24"/>
              </w:rPr>
            </w:pPr>
            <w:r w:rsidRPr="002A22DD">
              <w:rPr>
                <w:rFonts w:ascii="Arial" w:hAnsi="Arial" w:cs="Arial"/>
                <w:color w:val="000000"/>
                <w:szCs w:val="24"/>
              </w:rPr>
              <w:t>Operating Cost Pressures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3C04" w14:textId="77777777" w:rsidR="002A22DD" w:rsidRPr="002A22DD" w:rsidRDefault="002A22DD" w:rsidP="002A22DD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2A22DD">
              <w:rPr>
                <w:rFonts w:ascii="Arial" w:hAnsi="Arial" w:cs="Arial"/>
                <w:color w:val="000000"/>
                <w:szCs w:val="24"/>
              </w:rPr>
              <w:t xml:space="preserve">244,428 </w:t>
            </w:r>
          </w:p>
        </w:tc>
      </w:tr>
      <w:tr w:rsidR="002A22DD" w:rsidRPr="002A22DD" w14:paraId="0BD2B88C" w14:textId="77777777" w:rsidTr="002A22DD">
        <w:trPr>
          <w:trHeight w:val="315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0880EC" w14:textId="77777777" w:rsidR="002A22DD" w:rsidRPr="002A22DD" w:rsidRDefault="002A22DD" w:rsidP="002A22DD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2A22DD">
              <w:rPr>
                <w:rFonts w:ascii="Arial" w:hAnsi="Arial" w:cs="Arial"/>
                <w:b/>
                <w:bCs/>
                <w:color w:val="000000"/>
                <w:szCs w:val="24"/>
              </w:rPr>
              <w:t>Total Pressure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46A272" w14:textId="77777777" w:rsidR="002A22DD" w:rsidRPr="002A22DD" w:rsidRDefault="002A22DD" w:rsidP="002A22DD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2A22DD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4,938,159 </w:t>
            </w:r>
          </w:p>
        </w:tc>
      </w:tr>
      <w:tr w:rsidR="002A22DD" w:rsidRPr="002A22DD" w14:paraId="4B9F14A7" w14:textId="77777777" w:rsidTr="002A22DD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9120" w14:textId="77777777" w:rsidR="002A22DD" w:rsidRPr="002A22DD" w:rsidRDefault="002A22DD" w:rsidP="002A22DD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504B" w14:textId="77777777" w:rsidR="002A22DD" w:rsidRPr="002A22DD" w:rsidRDefault="002A22DD" w:rsidP="002A22DD">
            <w:pPr>
              <w:rPr>
                <w:sz w:val="20"/>
              </w:rPr>
            </w:pPr>
          </w:p>
        </w:tc>
      </w:tr>
      <w:tr w:rsidR="002A22DD" w:rsidRPr="002A22DD" w14:paraId="3A9F1D26" w14:textId="77777777" w:rsidTr="002A22DD">
        <w:trPr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E8287B" w14:textId="77777777" w:rsidR="002A22DD" w:rsidRPr="002A22DD" w:rsidRDefault="002A22DD" w:rsidP="002A22DD">
            <w:pPr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2A22DD">
              <w:rPr>
                <w:rFonts w:ascii="Arial" w:hAnsi="Arial" w:cs="Arial"/>
                <w:b/>
                <w:bCs/>
                <w:color w:val="305496"/>
                <w:szCs w:val="24"/>
              </w:rPr>
              <w:t>Income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5565BA0B" w14:textId="77777777" w:rsidR="002A22DD" w:rsidRPr="002A22DD" w:rsidRDefault="002A22DD" w:rsidP="002A22DD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2A22DD">
              <w:rPr>
                <w:rFonts w:ascii="Arial" w:hAnsi="Arial" w:cs="Arial"/>
                <w:b/>
                <w:bCs/>
                <w:color w:val="FFFFCC"/>
                <w:szCs w:val="24"/>
              </w:rPr>
              <w:t>£</w:t>
            </w:r>
          </w:p>
        </w:tc>
      </w:tr>
      <w:tr w:rsidR="002A22DD" w:rsidRPr="002A22DD" w14:paraId="6E9D1365" w14:textId="77777777" w:rsidTr="002A22DD">
        <w:trPr>
          <w:trHeight w:val="3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1CE4" w14:textId="77777777" w:rsidR="002A22DD" w:rsidRPr="002A22DD" w:rsidRDefault="002A22DD" w:rsidP="002A22DD">
            <w:pPr>
              <w:rPr>
                <w:rFonts w:ascii="Arial" w:hAnsi="Arial" w:cs="Arial"/>
                <w:color w:val="000000"/>
                <w:szCs w:val="24"/>
              </w:rPr>
            </w:pPr>
            <w:r w:rsidRPr="002A22DD">
              <w:rPr>
                <w:rFonts w:ascii="Arial" w:hAnsi="Arial" w:cs="Arial"/>
                <w:color w:val="000000"/>
                <w:szCs w:val="24"/>
              </w:rPr>
              <w:t>Highlife Price Increase &amp; Growth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0163" w14:textId="77777777" w:rsidR="002A22DD" w:rsidRPr="002A22DD" w:rsidRDefault="002A22DD" w:rsidP="002A22DD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2A22DD">
              <w:rPr>
                <w:rFonts w:ascii="Arial" w:hAnsi="Arial" w:cs="Arial"/>
                <w:color w:val="000000"/>
                <w:szCs w:val="24"/>
              </w:rPr>
              <w:t xml:space="preserve">901,411 </w:t>
            </w:r>
          </w:p>
        </w:tc>
      </w:tr>
      <w:tr w:rsidR="002A22DD" w:rsidRPr="002A22DD" w14:paraId="094ABD36" w14:textId="77777777" w:rsidTr="005133A1">
        <w:trPr>
          <w:trHeight w:val="30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0121" w14:textId="77777777" w:rsidR="002A22DD" w:rsidRPr="002A22DD" w:rsidRDefault="002A22DD" w:rsidP="002A22DD">
            <w:pPr>
              <w:rPr>
                <w:rFonts w:ascii="Arial" w:hAnsi="Arial" w:cs="Arial"/>
                <w:color w:val="000000"/>
                <w:szCs w:val="24"/>
              </w:rPr>
            </w:pPr>
            <w:r w:rsidRPr="002A22DD">
              <w:rPr>
                <w:rFonts w:ascii="Arial" w:hAnsi="Arial" w:cs="Arial"/>
                <w:color w:val="000000"/>
                <w:szCs w:val="24"/>
              </w:rPr>
              <w:t>PAYG Leisure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1726" w14:textId="77777777" w:rsidR="002A22DD" w:rsidRPr="002A22DD" w:rsidRDefault="002A22DD" w:rsidP="002A22DD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2A22DD">
              <w:rPr>
                <w:rFonts w:ascii="Arial" w:hAnsi="Arial" w:cs="Arial"/>
                <w:color w:val="000000"/>
                <w:szCs w:val="24"/>
              </w:rPr>
              <w:t xml:space="preserve">165,728 </w:t>
            </w:r>
          </w:p>
        </w:tc>
      </w:tr>
      <w:tr w:rsidR="002A22DD" w:rsidRPr="002A22DD" w14:paraId="3EFA64B1" w14:textId="77777777" w:rsidTr="002A22DD">
        <w:trPr>
          <w:trHeight w:val="3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8122" w14:textId="77777777" w:rsidR="002A22DD" w:rsidRPr="002A22DD" w:rsidRDefault="002A22DD" w:rsidP="002A22DD">
            <w:pPr>
              <w:rPr>
                <w:rFonts w:ascii="Arial" w:hAnsi="Arial" w:cs="Arial"/>
                <w:color w:val="000000"/>
                <w:szCs w:val="24"/>
              </w:rPr>
            </w:pPr>
            <w:r w:rsidRPr="002A22DD">
              <w:rPr>
                <w:rFonts w:ascii="Arial" w:hAnsi="Arial" w:cs="Arial"/>
                <w:color w:val="000000"/>
                <w:szCs w:val="24"/>
              </w:rPr>
              <w:t xml:space="preserve">Pay Award Funding (24/25)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B7E4" w14:textId="77777777" w:rsidR="002A22DD" w:rsidRPr="002A22DD" w:rsidRDefault="002A22DD" w:rsidP="002A22DD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2A22DD">
              <w:rPr>
                <w:rFonts w:ascii="Arial" w:hAnsi="Arial" w:cs="Arial"/>
                <w:color w:val="000000"/>
                <w:szCs w:val="24"/>
              </w:rPr>
              <w:t xml:space="preserve">573,000 </w:t>
            </w:r>
          </w:p>
        </w:tc>
      </w:tr>
      <w:tr w:rsidR="002A22DD" w:rsidRPr="002A22DD" w14:paraId="5F6F88F1" w14:textId="77777777" w:rsidTr="002A22DD">
        <w:trPr>
          <w:trHeight w:val="3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C35A" w14:textId="77777777" w:rsidR="002A22DD" w:rsidRPr="002A22DD" w:rsidRDefault="002A22DD" w:rsidP="002A22DD">
            <w:pPr>
              <w:rPr>
                <w:rFonts w:ascii="Arial" w:hAnsi="Arial" w:cs="Arial"/>
                <w:color w:val="000000"/>
                <w:szCs w:val="24"/>
              </w:rPr>
            </w:pPr>
            <w:r w:rsidRPr="002A22DD">
              <w:rPr>
                <w:rFonts w:ascii="Arial" w:hAnsi="Arial" w:cs="Arial"/>
                <w:color w:val="000000"/>
                <w:szCs w:val="24"/>
              </w:rPr>
              <w:t>Other Misc Income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207F" w14:textId="77777777" w:rsidR="002A22DD" w:rsidRPr="002A22DD" w:rsidRDefault="002A22DD" w:rsidP="002A22DD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2A22DD">
              <w:rPr>
                <w:rFonts w:ascii="Arial" w:hAnsi="Arial" w:cs="Arial"/>
                <w:color w:val="000000"/>
                <w:szCs w:val="24"/>
              </w:rPr>
              <w:t xml:space="preserve">58,191 </w:t>
            </w:r>
          </w:p>
        </w:tc>
      </w:tr>
      <w:tr w:rsidR="002A22DD" w:rsidRPr="002A22DD" w14:paraId="5CAD3857" w14:textId="77777777" w:rsidTr="002A22DD">
        <w:trPr>
          <w:trHeight w:val="315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E57977" w14:textId="77777777" w:rsidR="002A22DD" w:rsidRPr="002A22DD" w:rsidRDefault="002A22DD" w:rsidP="002A22DD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2A22DD">
              <w:rPr>
                <w:rFonts w:ascii="Arial" w:hAnsi="Arial" w:cs="Arial"/>
                <w:b/>
                <w:bCs/>
                <w:color w:val="000000"/>
                <w:szCs w:val="24"/>
              </w:rPr>
              <w:t>Total Income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71A400" w14:textId="77777777" w:rsidR="002A22DD" w:rsidRPr="002A22DD" w:rsidRDefault="002A22DD" w:rsidP="002A22DD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2A22DD">
              <w:rPr>
                <w:rFonts w:ascii="Arial" w:hAnsi="Arial" w:cs="Arial"/>
                <w:b/>
                <w:bCs/>
                <w:color w:val="000000"/>
                <w:szCs w:val="24"/>
              </w:rPr>
              <w:t>1,698,330</w:t>
            </w:r>
          </w:p>
        </w:tc>
      </w:tr>
      <w:tr w:rsidR="002A22DD" w:rsidRPr="002A22DD" w14:paraId="10302079" w14:textId="77777777" w:rsidTr="002A22DD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3F1D" w14:textId="77777777" w:rsidR="002A22DD" w:rsidRPr="002A22DD" w:rsidRDefault="002A22DD" w:rsidP="002A22DD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46C1" w14:textId="77777777" w:rsidR="002A22DD" w:rsidRPr="002A22DD" w:rsidRDefault="002A22DD" w:rsidP="002A22DD">
            <w:pPr>
              <w:rPr>
                <w:sz w:val="20"/>
              </w:rPr>
            </w:pPr>
          </w:p>
        </w:tc>
      </w:tr>
      <w:tr w:rsidR="002A22DD" w:rsidRPr="002A22DD" w14:paraId="384F6AA6" w14:textId="77777777" w:rsidTr="002A22DD">
        <w:trPr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15A8AF0" w14:textId="77777777" w:rsidR="002A22DD" w:rsidRPr="002A22DD" w:rsidRDefault="002A22DD" w:rsidP="002A22DD">
            <w:pPr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2A22DD">
              <w:rPr>
                <w:rFonts w:ascii="Arial" w:hAnsi="Arial" w:cs="Arial"/>
                <w:b/>
                <w:bCs/>
                <w:color w:val="305496"/>
                <w:szCs w:val="24"/>
              </w:rPr>
              <w:t>Efficiencies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990EFE2" w14:textId="77777777" w:rsidR="002A22DD" w:rsidRPr="002A22DD" w:rsidRDefault="002A22DD" w:rsidP="002A22DD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2A22DD">
              <w:rPr>
                <w:rFonts w:ascii="Arial" w:hAnsi="Arial" w:cs="Arial"/>
                <w:b/>
                <w:bCs/>
                <w:color w:val="FFFFCC"/>
                <w:szCs w:val="24"/>
              </w:rPr>
              <w:t>£,000</w:t>
            </w:r>
          </w:p>
        </w:tc>
      </w:tr>
      <w:tr w:rsidR="002A22DD" w:rsidRPr="002A22DD" w14:paraId="576F32EA" w14:textId="77777777" w:rsidTr="002A22DD">
        <w:trPr>
          <w:trHeight w:val="3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28F6" w14:textId="77777777" w:rsidR="002A22DD" w:rsidRPr="002A22DD" w:rsidRDefault="002A22DD" w:rsidP="002A22DD">
            <w:pPr>
              <w:rPr>
                <w:rFonts w:ascii="Arial" w:hAnsi="Arial" w:cs="Arial"/>
                <w:color w:val="000000"/>
                <w:szCs w:val="24"/>
              </w:rPr>
            </w:pPr>
            <w:r w:rsidRPr="002A22DD">
              <w:rPr>
                <w:rFonts w:ascii="Arial" w:hAnsi="Arial" w:cs="Arial"/>
                <w:color w:val="000000"/>
                <w:szCs w:val="24"/>
              </w:rPr>
              <w:t xml:space="preserve">Staffing Efficiencies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4A38" w14:textId="77777777" w:rsidR="002A22DD" w:rsidRPr="002A22DD" w:rsidRDefault="002A22DD" w:rsidP="002A22DD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2A22DD">
              <w:rPr>
                <w:rFonts w:ascii="Arial" w:hAnsi="Arial" w:cs="Arial"/>
                <w:color w:val="000000"/>
                <w:szCs w:val="24"/>
              </w:rPr>
              <w:t xml:space="preserve">158,437 </w:t>
            </w:r>
          </w:p>
        </w:tc>
      </w:tr>
      <w:tr w:rsidR="002A22DD" w:rsidRPr="002A22DD" w14:paraId="3E07511A" w14:textId="77777777" w:rsidTr="002A22DD">
        <w:trPr>
          <w:trHeight w:val="3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1C7D" w14:textId="77777777" w:rsidR="002A22DD" w:rsidRPr="002A22DD" w:rsidRDefault="002A22DD" w:rsidP="002A22DD">
            <w:pPr>
              <w:rPr>
                <w:rFonts w:ascii="Arial" w:hAnsi="Arial" w:cs="Arial"/>
                <w:color w:val="000000"/>
                <w:szCs w:val="24"/>
              </w:rPr>
            </w:pPr>
            <w:r w:rsidRPr="002A22DD">
              <w:rPr>
                <w:rFonts w:ascii="Arial" w:hAnsi="Arial" w:cs="Arial"/>
                <w:color w:val="000000"/>
                <w:szCs w:val="24"/>
              </w:rPr>
              <w:t>Vacancy Management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CD51" w14:textId="77777777" w:rsidR="002A22DD" w:rsidRPr="002A22DD" w:rsidRDefault="002A22DD" w:rsidP="002A22DD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2A22DD">
              <w:rPr>
                <w:rFonts w:ascii="Arial" w:hAnsi="Arial" w:cs="Arial"/>
                <w:color w:val="000000"/>
                <w:szCs w:val="24"/>
              </w:rPr>
              <w:t xml:space="preserve">264,000 </w:t>
            </w:r>
          </w:p>
        </w:tc>
      </w:tr>
      <w:tr w:rsidR="002A22DD" w:rsidRPr="002A22DD" w14:paraId="26E8465C" w14:textId="77777777" w:rsidTr="002A22DD">
        <w:trPr>
          <w:trHeight w:val="3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2085" w14:textId="77777777" w:rsidR="002A22DD" w:rsidRPr="002A22DD" w:rsidRDefault="002A22DD" w:rsidP="002A22DD">
            <w:pPr>
              <w:rPr>
                <w:rFonts w:ascii="Arial" w:hAnsi="Arial" w:cs="Arial"/>
                <w:color w:val="000000"/>
                <w:szCs w:val="24"/>
              </w:rPr>
            </w:pPr>
            <w:r w:rsidRPr="002A22DD">
              <w:rPr>
                <w:rFonts w:ascii="Arial" w:hAnsi="Arial" w:cs="Arial"/>
                <w:color w:val="000000"/>
                <w:szCs w:val="24"/>
              </w:rPr>
              <w:t>Misc Efficiencies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727E" w14:textId="77777777" w:rsidR="002A22DD" w:rsidRPr="002A22DD" w:rsidRDefault="002A22DD" w:rsidP="002A22DD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2A22DD">
              <w:rPr>
                <w:rFonts w:ascii="Arial" w:hAnsi="Arial" w:cs="Arial"/>
                <w:color w:val="000000"/>
                <w:szCs w:val="24"/>
              </w:rPr>
              <w:t xml:space="preserve">53,392 </w:t>
            </w:r>
          </w:p>
        </w:tc>
      </w:tr>
      <w:tr w:rsidR="002A22DD" w:rsidRPr="002A22DD" w14:paraId="73C48846" w14:textId="77777777" w:rsidTr="002A22DD">
        <w:trPr>
          <w:trHeight w:val="315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DFF131" w14:textId="77777777" w:rsidR="002A22DD" w:rsidRPr="002A22DD" w:rsidRDefault="002A22DD" w:rsidP="002A22DD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2A22DD">
              <w:rPr>
                <w:rFonts w:ascii="Arial" w:hAnsi="Arial" w:cs="Arial"/>
                <w:b/>
                <w:bCs/>
                <w:color w:val="000000"/>
                <w:szCs w:val="24"/>
              </w:rPr>
              <w:t>Total Efficiencies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34C05D" w14:textId="77777777" w:rsidR="002A22DD" w:rsidRPr="002A22DD" w:rsidRDefault="002A22DD" w:rsidP="002A22DD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2A22DD">
              <w:rPr>
                <w:rFonts w:ascii="Arial" w:hAnsi="Arial" w:cs="Arial"/>
                <w:b/>
                <w:bCs/>
                <w:color w:val="000000"/>
                <w:szCs w:val="24"/>
              </w:rPr>
              <w:t>475,829</w:t>
            </w:r>
          </w:p>
        </w:tc>
      </w:tr>
      <w:tr w:rsidR="002A22DD" w:rsidRPr="002A22DD" w14:paraId="580B4813" w14:textId="77777777" w:rsidTr="002A22DD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D320" w14:textId="77777777" w:rsidR="002A22DD" w:rsidRPr="002A22DD" w:rsidRDefault="002A22DD" w:rsidP="002A22DD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4977" w14:textId="77777777" w:rsidR="002A22DD" w:rsidRPr="002A22DD" w:rsidRDefault="002A22DD" w:rsidP="002A22DD">
            <w:pPr>
              <w:rPr>
                <w:sz w:val="20"/>
              </w:rPr>
            </w:pPr>
          </w:p>
        </w:tc>
      </w:tr>
      <w:tr w:rsidR="002A22DD" w:rsidRPr="002A22DD" w14:paraId="0280F618" w14:textId="77777777" w:rsidTr="002A22DD">
        <w:trPr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D8E5AE" w14:textId="77777777" w:rsidR="002A22DD" w:rsidRPr="002A22DD" w:rsidRDefault="002A22DD" w:rsidP="002A22DD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2A22DD">
              <w:rPr>
                <w:rFonts w:ascii="Arial" w:hAnsi="Arial" w:cs="Arial"/>
                <w:b/>
                <w:bCs/>
                <w:color w:val="000000"/>
                <w:szCs w:val="24"/>
              </w:rPr>
              <w:t>Net Pressure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F029D0" w14:textId="77777777" w:rsidR="002A22DD" w:rsidRPr="002A22DD" w:rsidRDefault="002A22DD" w:rsidP="002A22DD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2A22DD">
              <w:rPr>
                <w:rFonts w:ascii="Arial" w:hAnsi="Arial" w:cs="Arial"/>
                <w:b/>
                <w:bCs/>
                <w:color w:val="000000"/>
                <w:szCs w:val="24"/>
              </w:rPr>
              <w:t>2,764,000</w:t>
            </w:r>
          </w:p>
        </w:tc>
      </w:tr>
    </w:tbl>
    <w:p w14:paraId="119041B5" w14:textId="19BCA6ED" w:rsidR="00E312A7" w:rsidRPr="00C34952" w:rsidRDefault="00E312A7" w:rsidP="00487390">
      <w:pPr>
        <w:jc w:val="both"/>
        <w:rPr>
          <w:rFonts w:ascii="Arial" w:hAnsi="Arial" w:cs="Arial"/>
          <w:szCs w:val="24"/>
        </w:rPr>
      </w:pPr>
    </w:p>
    <w:sectPr w:rsidR="00E312A7" w:rsidRPr="00C34952" w:rsidSect="007A7040">
      <w:pgSz w:w="11906" w:h="16838"/>
      <w:pgMar w:top="1080" w:right="1080" w:bottom="108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ABBB4" w14:textId="77777777" w:rsidR="007A7040" w:rsidRDefault="007A7040">
      <w:r>
        <w:separator/>
      </w:r>
    </w:p>
  </w:endnote>
  <w:endnote w:type="continuationSeparator" w:id="0">
    <w:p w14:paraId="40CC0B62" w14:textId="77777777" w:rsidR="007A7040" w:rsidRDefault="007A7040">
      <w:r>
        <w:continuationSeparator/>
      </w:r>
    </w:p>
  </w:endnote>
  <w:endnote w:type="continuationNotice" w:id="1">
    <w:p w14:paraId="461B2DF4" w14:textId="77777777" w:rsidR="007A7040" w:rsidRDefault="007A70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64D8C" w14:textId="77777777" w:rsidR="007A7040" w:rsidRDefault="007A7040">
      <w:r>
        <w:separator/>
      </w:r>
    </w:p>
  </w:footnote>
  <w:footnote w:type="continuationSeparator" w:id="0">
    <w:p w14:paraId="22061235" w14:textId="77777777" w:rsidR="007A7040" w:rsidRDefault="007A7040">
      <w:r>
        <w:continuationSeparator/>
      </w:r>
    </w:p>
  </w:footnote>
  <w:footnote w:type="continuationNotice" w:id="1">
    <w:p w14:paraId="2583E5C6" w14:textId="77777777" w:rsidR="007A7040" w:rsidRDefault="007A70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2240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2D4C0E"/>
    <w:multiLevelType w:val="hybridMultilevel"/>
    <w:tmpl w:val="03427AC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E6BB6"/>
    <w:multiLevelType w:val="hybridMultilevel"/>
    <w:tmpl w:val="5DA01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D443F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46345E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183C70"/>
    <w:multiLevelType w:val="multilevel"/>
    <w:tmpl w:val="42AAE7A4"/>
    <w:lvl w:ilvl="0">
      <w:start w:val="5"/>
      <w:numFmt w:val="decimal"/>
      <w:lvlText w:val="%1"/>
      <w:lvlJc w:val="left"/>
      <w:pPr>
        <w:ind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64"/>
      </w:pPr>
      <w:rPr>
        <w:rFonts w:ascii="Arial" w:eastAsia="Arial" w:hAnsi="Arial" w:hint="default"/>
        <w:color w:val="313131"/>
        <w:w w:val="95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0FA25C58"/>
    <w:multiLevelType w:val="hybridMultilevel"/>
    <w:tmpl w:val="D6622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168B3"/>
    <w:multiLevelType w:val="hybridMultilevel"/>
    <w:tmpl w:val="3D44BB7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F4AF5"/>
    <w:multiLevelType w:val="hybridMultilevel"/>
    <w:tmpl w:val="3D44BB7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74499"/>
    <w:multiLevelType w:val="hybridMultilevel"/>
    <w:tmpl w:val="DFAC8210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1A752B5A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BD528C"/>
    <w:multiLevelType w:val="hybridMultilevel"/>
    <w:tmpl w:val="8F263A8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C0D24"/>
    <w:multiLevelType w:val="hybridMultilevel"/>
    <w:tmpl w:val="3F4EFC9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22E01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580BFD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DD5DDF"/>
    <w:multiLevelType w:val="hybridMultilevel"/>
    <w:tmpl w:val="BA4680CC"/>
    <w:lvl w:ilvl="0" w:tplc="734824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F01D1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D23D11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0B4201A"/>
    <w:multiLevelType w:val="hybridMultilevel"/>
    <w:tmpl w:val="3D44BB7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742D4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EE098D"/>
    <w:multiLevelType w:val="hybridMultilevel"/>
    <w:tmpl w:val="12DCCB7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13607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07E557F"/>
    <w:multiLevelType w:val="hybridMultilevel"/>
    <w:tmpl w:val="A88ED9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16495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1C0C95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595983"/>
    <w:multiLevelType w:val="hybridMultilevel"/>
    <w:tmpl w:val="3D44BB7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F4A08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1821C66"/>
    <w:multiLevelType w:val="hybridMultilevel"/>
    <w:tmpl w:val="35382B7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21874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742E53"/>
    <w:multiLevelType w:val="hybridMultilevel"/>
    <w:tmpl w:val="C1EE42B4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B92C72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AF709A4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342471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E237E6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C3187D"/>
    <w:multiLevelType w:val="hybridMultilevel"/>
    <w:tmpl w:val="3D44BB7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67494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2FA54E2"/>
    <w:multiLevelType w:val="multilevel"/>
    <w:tmpl w:val="26A61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83B5B72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AFA540C"/>
    <w:multiLevelType w:val="hybridMultilevel"/>
    <w:tmpl w:val="3D44BB7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03580"/>
    <w:multiLevelType w:val="hybridMultilevel"/>
    <w:tmpl w:val="B2CEF95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21263C"/>
    <w:multiLevelType w:val="hybridMultilevel"/>
    <w:tmpl w:val="31F28D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277442"/>
    <w:multiLevelType w:val="hybridMultilevel"/>
    <w:tmpl w:val="A412A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9E3A6D"/>
    <w:multiLevelType w:val="multilevel"/>
    <w:tmpl w:val="8AD80F7A"/>
    <w:lvl w:ilvl="0">
      <w:start w:val="4"/>
      <w:numFmt w:val="decimal"/>
      <w:lvlText w:val="%1"/>
      <w:lvlJc w:val="left"/>
      <w:pPr>
        <w:ind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55"/>
      </w:pPr>
      <w:rPr>
        <w:rFonts w:ascii="Arial" w:eastAsia="Arial" w:hAnsi="Arial" w:hint="default"/>
        <w:color w:val="313131"/>
        <w:w w:val="96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3" w15:restartNumberingAfterBreak="0">
    <w:nsid w:val="742B6BED"/>
    <w:multiLevelType w:val="hybridMultilevel"/>
    <w:tmpl w:val="6EAAE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3E7DB7"/>
    <w:multiLevelType w:val="hybridMultilevel"/>
    <w:tmpl w:val="3AE86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787736"/>
    <w:multiLevelType w:val="hybridMultilevel"/>
    <w:tmpl w:val="1846A1E4"/>
    <w:lvl w:ilvl="0" w:tplc="56660C6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num w:numId="1" w16cid:durableId="1257590455">
    <w:abstractNumId w:val="44"/>
  </w:num>
  <w:num w:numId="2" w16cid:durableId="24016537">
    <w:abstractNumId w:val="37"/>
  </w:num>
  <w:num w:numId="3" w16cid:durableId="477501279">
    <w:abstractNumId w:val="24"/>
  </w:num>
  <w:num w:numId="4" w16cid:durableId="87626603">
    <w:abstractNumId w:val="28"/>
  </w:num>
  <w:num w:numId="5" w16cid:durableId="1525754473">
    <w:abstractNumId w:val="10"/>
  </w:num>
  <w:num w:numId="6" w16cid:durableId="1313408348">
    <w:abstractNumId w:val="45"/>
  </w:num>
  <w:num w:numId="7" w16cid:durableId="2014450503">
    <w:abstractNumId w:val="33"/>
  </w:num>
  <w:num w:numId="8" w16cid:durableId="2097434627">
    <w:abstractNumId w:val="16"/>
  </w:num>
  <w:num w:numId="9" w16cid:durableId="1852256351">
    <w:abstractNumId w:val="31"/>
  </w:num>
  <w:num w:numId="10" w16cid:durableId="1823620163">
    <w:abstractNumId w:val="4"/>
  </w:num>
  <w:num w:numId="11" w16cid:durableId="1001200003">
    <w:abstractNumId w:val="41"/>
  </w:num>
  <w:num w:numId="12" w16cid:durableId="816461935">
    <w:abstractNumId w:val="22"/>
  </w:num>
  <w:num w:numId="13" w16cid:durableId="436566600">
    <w:abstractNumId w:val="20"/>
  </w:num>
  <w:num w:numId="14" w16cid:durableId="1826312190">
    <w:abstractNumId w:val="19"/>
  </w:num>
  <w:num w:numId="15" w16cid:durableId="363945831">
    <w:abstractNumId w:val="21"/>
  </w:num>
  <w:num w:numId="16" w16cid:durableId="491722038">
    <w:abstractNumId w:val="13"/>
  </w:num>
  <w:num w:numId="17" w16cid:durableId="1242721118">
    <w:abstractNumId w:val="0"/>
  </w:num>
  <w:num w:numId="18" w16cid:durableId="913128059">
    <w:abstractNumId w:val="17"/>
  </w:num>
  <w:num w:numId="19" w16cid:durableId="427504341">
    <w:abstractNumId w:val="26"/>
  </w:num>
  <w:num w:numId="20" w16cid:durableId="2024547308">
    <w:abstractNumId w:val="42"/>
  </w:num>
  <w:num w:numId="21" w16cid:durableId="308822221">
    <w:abstractNumId w:val="5"/>
  </w:num>
  <w:num w:numId="22" w16cid:durableId="597059861">
    <w:abstractNumId w:val="14"/>
  </w:num>
  <w:num w:numId="23" w16cid:durableId="1364861679">
    <w:abstractNumId w:val="32"/>
  </w:num>
  <w:num w:numId="24" w16cid:durableId="182939047">
    <w:abstractNumId w:val="3"/>
  </w:num>
  <w:num w:numId="25" w16cid:durableId="411003907">
    <w:abstractNumId w:val="30"/>
  </w:num>
  <w:num w:numId="26" w16cid:durableId="1476800773">
    <w:abstractNumId w:val="23"/>
  </w:num>
  <w:num w:numId="27" w16cid:durableId="1968778004">
    <w:abstractNumId w:val="35"/>
  </w:num>
  <w:num w:numId="28" w16cid:durableId="612175647">
    <w:abstractNumId w:val="15"/>
  </w:num>
  <w:num w:numId="29" w16cid:durableId="1785490525">
    <w:abstractNumId w:val="7"/>
  </w:num>
  <w:num w:numId="30" w16cid:durableId="1906061577">
    <w:abstractNumId w:val="39"/>
  </w:num>
  <w:num w:numId="31" w16cid:durableId="261423246">
    <w:abstractNumId w:val="12"/>
  </w:num>
  <w:num w:numId="32" w16cid:durableId="571427329">
    <w:abstractNumId w:val="27"/>
  </w:num>
  <w:num w:numId="33" w16cid:durableId="430472527">
    <w:abstractNumId w:val="2"/>
  </w:num>
  <w:num w:numId="34" w16cid:durableId="954751923">
    <w:abstractNumId w:val="6"/>
  </w:num>
  <w:num w:numId="35" w16cid:durableId="798492829">
    <w:abstractNumId w:val="43"/>
  </w:num>
  <w:num w:numId="36" w16cid:durableId="1411850126">
    <w:abstractNumId w:val="1"/>
  </w:num>
  <w:num w:numId="37" w16cid:durableId="543904297">
    <w:abstractNumId w:val="40"/>
  </w:num>
  <w:num w:numId="38" w16cid:durableId="2064088742">
    <w:abstractNumId w:val="18"/>
  </w:num>
  <w:num w:numId="39" w16cid:durableId="1569225238">
    <w:abstractNumId w:val="11"/>
  </w:num>
  <w:num w:numId="40" w16cid:durableId="1308318648">
    <w:abstractNumId w:val="36"/>
  </w:num>
  <w:num w:numId="41" w16cid:durableId="1259171542">
    <w:abstractNumId w:val="9"/>
  </w:num>
  <w:num w:numId="42" w16cid:durableId="1482964474">
    <w:abstractNumId w:val="38"/>
  </w:num>
  <w:num w:numId="43" w16cid:durableId="929697637">
    <w:abstractNumId w:val="8"/>
  </w:num>
  <w:num w:numId="44" w16cid:durableId="2088719789">
    <w:abstractNumId w:val="34"/>
  </w:num>
  <w:num w:numId="45" w16cid:durableId="1364743291">
    <w:abstractNumId w:val="25"/>
  </w:num>
  <w:num w:numId="46" w16cid:durableId="2137871547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0A"/>
    <w:rsid w:val="00001099"/>
    <w:rsid w:val="000035C6"/>
    <w:rsid w:val="00017428"/>
    <w:rsid w:val="00021B6F"/>
    <w:rsid w:val="00021E36"/>
    <w:rsid w:val="0002330B"/>
    <w:rsid w:val="00023E37"/>
    <w:rsid w:val="000261C0"/>
    <w:rsid w:val="00027E96"/>
    <w:rsid w:val="00030352"/>
    <w:rsid w:val="00031D1E"/>
    <w:rsid w:val="00037F60"/>
    <w:rsid w:val="000416F8"/>
    <w:rsid w:val="0004740E"/>
    <w:rsid w:val="0005207E"/>
    <w:rsid w:val="00054DE1"/>
    <w:rsid w:val="000551EE"/>
    <w:rsid w:val="00056541"/>
    <w:rsid w:val="0006140B"/>
    <w:rsid w:val="00063893"/>
    <w:rsid w:val="00063BC5"/>
    <w:rsid w:val="00080CDD"/>
    <w:rsid w:val="000A6C7B"/>
    <w:rsid w:val="000A71BA"/>
    <w:rsid w:val="000B0A7F"/>
    <w:rsid w:val="000B1BAC"/>
    <w:rsid w:val="000B29D1"/>
    <w:rsid w:val="000B31FF"/>
    <w:rsid w:val="000B359E"/>
    <w:rsid w:val="000B45B6"/>
    <w:rsid w:val="000B6F5B"/>
    <w:rsid w:val="000B70B9"/>
    <w:rsid w:val="000C795A"/>
    <w:rsid w:val="000D5D71"/>
    <w:rsid w:val="000D5DA0"/>
    <w:rsid w:val="000E2895"/>
    <w:rsid w:val="000F24C8"/>
    <w:rsid w:val="000F274B"/>
    <w:rsid w:val="000F29AC"/>
    <w:rsid w:val="000F6071"/>
    <w:rsid w:val="000F61FE"/>
    <w:rsid w:val="00100A94"/>
    <w:rsid w:val="00101D38"/>
    <w:rsid w:val="00102BA1"/>
    <w:rsid w:val="00103AC5"/>
    <w:rsid w:val="00104179"/>
    <w:rsid w:val="0010458D"/>
    <w:rsid w:val="00104C06"/>
    <w:rsid w:val="001072B4"/>
    <w:rsid w:val="00112DBF"/>
    <w:rsid w:val="00116A38"/>
    <w:rsid w:val="00131281"/>
    <w:rsid w:val="00144B3B"/>
    <w:rsid w:val="00146E76"/>
    <w:rsid w:val="001538E1"/>
    <w:rsid w:val="0015714E"/>
    <w:rsid w:val="001575A7"/>
    <w:rsid w:val="001609AA"/>
    <w:rsid w:val="001641A6"/>
    <w:rsid w:val="00165523"/>
    <w:rsid w:val="00165861"/>
    <w:rsid w:val="00167E3E"/>
    <w:rsid w:val="00170110"/>
    <w:rsid w:val="001766FB"/>
    <w:rsid w:val="0018607E"/>
    <w:rsid w:val="00186520"/>
    <w:rsid w:val="001867B9"/>
    <w:rsid w:val="00186D8B"/>
    <w:rsid w:val="001B472E"/>
    <w:rsid w:val="001B7F3F"/>
    <w:rsid w:val="001C3077"/>
    <w:rsid w:val="001C3572"/>
    <w:rsid w:val="001C44F8"/>
    <w:rsid w:val="001C4993"/>
    <w:rsid w:val="001C4B5C"/>
    <w:rsid w:val="001D1D38"/>
    <w:rsid w:val="001D3067"/>
    <w:rsid w:val="001D5B3C"/>
    <w:rsid w:val="001D5EE7"/>
    <w:rsid w:val="001E6629"/>
    <w:rsid w:val="001F17D6"/>
    <w:rsid w:val="001F1ECE"/>
    <w:rsid w:val="001F24EA"/>
    <w:rsid w:val="001F3085"/>
    <w:rsid w:val="001F5900"/>
    <w:rsid w:val="002033AE"/>
    <w:rsid w:val="00226235"/>
    <w:rsid w:val="00226A24"/>
    <w:rsid w:val="00226B15"/>
    <w:rsid w:val="00227B07"/>
    <w:rsid w:val="002313A7"/>
    <w:rsid w:val="0023686E"/>
    <w:rsid w:val="0024004B"/>
    <w:rsid w:val="0024242C"/>
    <w:rsid w:val="00260A45"/>
    <w:rsid w:val="00263611"/>
    <w:rsid w:val="0026371C"/>
    <w:rsid w:val="00275972"/>
    <w:rsid w:val="00276E23"/>
    <w:rsid w:val="00281BD6"/>
    <w:rsid w:val="00283C8A"/>
    <w:rsid w:val="00290EB5"/>
    <w:rsid w:val="00291E51"/>
    <w:rsid w:val="0029314E"/>
    <w:rsid w:val="002959BE"/>
    <w:rsid w:val="00297A0D"/>
    <w:rsid w:val="002A050E"/>
    <w:rsid w:val="002A21D3"/>
    <w:rsid w:val="002A22DD"/>
    <w:rsid w:val="002A47A7"/>
    <w:rsid w:val="002A660A"/>
    <w:rsid w:val="002B03ED"/>
    <w:rsid w:val="002B078E"/>
    <w:rsid w:val="002B567A"/>
    <w:rsid w:val="002B7DC4"/>
    <w:rsid w:val="002C5CF0"/>
    <w:rsid w:val="002D2995"/>
    <w:rsid w:val="002D76CB"/>
    <w:rsid w:val="002D7E65"/>
    <w:rsid w:val="002E26F7"/>
    <w:rsid w:val="002F2409"/>
    <w:rsid w:val="002F366E"/>
    <w:rsid w:val="00301127"/>
    <w:rsid w:val="003066A6"/>
    <w:rsid w:val="003105C9"/>
    <w:rsid w:val="00311342"/>
    <w:rsid w:val="00312F45"/>
    <w:rsid w:val="00314617"/>
    <w:rsid w:val="003150AF"/>
    <w:rsid w:val="00315D04"/>
    <w:rsid w:val="0031751B"/>
    <w:rsid w:val="003227B5"/>
    <w:rsid w:val="0032499A"/>
    <w:rsid w:val="00326648"/>
    <w:rsid w:val="00332E2D"/>
    <w:rsid w:val="0033499A"/>
    <w:rsid w:val="0034407D"/>
    <w:rsid w:val="00345B42"/>
    <w:rsid w:val="00351AA2"/>
    <w:rsid w:val="00351BDC"/>
    <w:rsid w:val="00356332"/>
    <w:rsid w:val="00356B53"/>
    <w:rsid w:val="00363CA0"/>
    <w:rsid w:val="00363EFA"/>
    <w:rsid w:val="00365A11"/>
    <w:rsid w:val="00371B47"/>
    <w:rsid w:val="00373946"/>
    <w:rsid w:val="0038176E"/>
    <w:rsid w:val="003825E7"/>
    <w:rsid w:val="00383762"/>
    <w:rsid w:val="003847F5"/>
    <w:rsid w:val="00385054"/>
    <w:rsid w:val="00386649"/>
    <w:rsid w:val="00390D51"/>
    <w:rsid w:val="003924C9"/>
    <w:rsid w:val="00392F90"/>
    <w:rsid w:val="0039450A"/>
    <w:rsid w:val="0039744A"/>
    <w:rsid w:val="003A0258"/>
    <w:rsid w:val="003B450B"/>
    <w:rsid w:val="003B759A"/>
    <w:rsid w:val="003D2A83"/>
    <w:rsid w:val="003D3C03"/>
    <w:rsid w:val="003D4E84"/>
    <w:rsid w:val="003D520F"/>
    <w:rsid w:val="003D7754"/>
    <w:rsid w:val="003E132F"/>
    <w:rsid w:val="003E6AF3"/>
    <w:rsid w:val="003E6B08"/>
    <w:rsid w:val="003F1D67"/>
    <w:rsid w:val="00402985"/>
    <w:rsid w:val="00404DAA"/>
    <w:rsid w:val="00411F29"/>
    <w:rsid w:val="00413E9C"/>
    <w:rsid w:val="00414575"/>
    <w:rsid w:val="00414B67"/>
    <w:rsid w:val="00416BFF"/>
    <w:rsid w:val="00420554"/>
    <w:rsid w:val="00425227"/>
    <w:rsid w:val="004259D8"/>
    <w:rsid w:val="004264D6"/>
    <w:rsid w:val="00433E7A"/>
    <w:rsid w:val="004353F3"/>
    <w:rsid w:val="00435406"/>
    <w:rsid w:val="00443373"/>
    <w:rsid w:val="00444FC4"/>
    <w:rsid w:val="00445D1F"/>
    <w:rsid w:val="00457EEB"/>
    <w:rsid w:val="004655D3"/>
    <w:rsid w:val="0046574A"/>
    <w:rsid w:val="00465FA2"/>
    <w:rsid w:val="004677D5"/>
    <w:rsid w:val="00471C8B"/>
    <w:rsid w:val="00472040"/>
    <w:rsid w:val="00474EDF"/>
    <w:rsid w:val="00481603"/>
    <w:rsid w:val="004829CD"/>
    <w:rsid w:val="0048396E"/>
    <w:rsid w:val="00485C73"/>
    <w:rsid w:val="00487390"/>
    <w:rsid w:val="00491692"/>
    <w:rsid w:val="00494991"/>
    <w:rsid w:val="00494A2F"/>
    <w:rsid w:val="004962DF"/>
    <w:rsid w:val="004A0BAE"/>
    <w:rsid w:val="004A13CB"/>
    <w:rsid w:val="004A4C8C"/>
    <w:rsid w:val="004B08E4"/>
    <w:rsid w:val="004B19DE"/>
    <w:rsid w:val="004B3658"/>
    <w:rsid w:val="004B5D11"/>
    <w:rsid w:val="004C0A19"/>
    <w:rsid w:val="004D1E94"/>
    <w:rsid w:val="004D3C32"/>
    <w:rsid w:val="004E2042"/>
    <w:rsid w:val="004E3790"/>
    <w:rsid w:val="004F0001"/>
    <w:rsid w:val="004F0983"/>
    <w:rsid w:val="004F4D60"/>
    <w:rsid w:val="004F57A9"/>
    <w:rsid w:val="004F6740"/>
    <w:rsid w:val="00500EFE"/>
    <w:rsid w:val="00502B22"/>
    <w:rsid w:val="00503516"/>
    <w:rsid w:val="00504936"/>
    <w:rsid w:val="00505B52"/>
    <w:rsid w:val="00510FC7"/>
    <w:rsid w:val="005133A1"/>
    <w:rsid w:val="00530B41"/>
    <w:rsid w:val="00532972"/>
    <w:rsid w:val="00533A02"/>
    <w:rsid w:val="00540480"/>
    <w:rsid w:val="00541767"/>
    <w:rsid w:val="005458DE"/>
    <w:rsid w:val="00554631"/>
    <w:rsid w:val="00562183"/>
    <w:rsid w:val="00565673"/>
    <w:rsid w:val="00567158"/>
    <w:rsid w:val="0057320F"/>
    <w:rsid w:val="0057479F"/>
    <w:rsid w:val="00574E1E"/>
    <w:rsid w:val="00576020"/>
    <w:rsid w:val="00580A83"/>
    <w:rsid w:val="00581415"/>
    <w:rsid w:val="00590256"/>
    <w:rsid w:val="00590C36"/>
    <w:rsid w:val="00592767"/>
    <w:rsid w:val="0059426B"/>
    <w:rsid w:val="00597AF6"/>
    <w:rsid w:val="005A19A5"/>
    <w:rsid w:val="005A1AD9"/>
    <w:rsid w:val="005A2C34"/>
    <w:rsid w:val="005A33E7"/>
    <w:rsid w:val="005A4031"/>
    <w:rsid w:val="005A64AF"/>
    <w:rsid w:val="005B050B"/>
    <w:rsid w:val="005C11FC"/>
    <w:rsid w:val="005C24E3"/>
    <w:rsid w:val="005C3C7A"/>
    <w:rsid w:val="005C524F"/>
    <w:rsid w:val="005C727C"/>
    <w:rsid w:val="005D09D1"/>
    <w:rsid w:val="005D0D32"/>
    <w:rsid w:val="005E23D5"/>
    <w:rsid w:val="005E3760"/>
    <w:rsid w:val="005E536A"/>
    <w:rsid w:val="005E693A"/>
    <w:rsid w:val="005F42F8"/>
    <w:rsid w:val="00600CC8"/>
    <w:rsid w:val="00602FAA"/>
    <w:rsid w:val="006103C1"/>
    <w:rsid w:val="00610B8E"/>
    <w:rsid w:val="0061161E"/>
    <w:rsid w:val="006136F6"/>
    <w:rsid w:val="0061518E"/>
    <w:rsid w:val="00616F95"/>
    <w:rsid w:val="00620E1F"/>
    <w:rsid w:val="006302BD"/>
    <w:rsid w:val="00630441"/>
    <w:rsid w:val="00633575"/>
    <w:rsid w:val="006342FC"/>
    <w:rsid w:val="0063477B"/>
    <w:rsid w:val="00635750"/>
    <w:rsid w:val="00642DF4"/>
    <w:rsid w:val="00646F67"/>
    <w:rsid w:val="006504D6"/>
    <w:rsid w:val="00653D2D"/>
    <w:rsid w:val="00655F80"/>
    <w:rsid w:val="00663093"/>
    <w:rsid w:val="006649FE"/>
    <w:rsid w:val="00664A83"/>
    <w:rsid w:val="00666CD5"/>
    <w:rsid w:val="0067538A"/>
    <w:rsid w:val="006753D0"/>
    <w:rsid w:val="0067745D"/>
    <w:rsid w:val="00686F9F"/>
    <w:rsid w:val="0068773D"/>
    <w:rsid w:val="0069001D"/>
    <w:rsid w:val="00692422"/>
    <w:rsid w:val="006A137F"/>
    <w:rsid w:val="006A6BAA"/>
    <w:rsid w:val="006B1A71"/>
    <w:rsid w:val="006B6192"/>
    <w:rsid w:val="006D0028"/>
    <w:rsid w:val="006D29ED"/>
    <w:rsid w:val="006D4204"/>
    <w:rsid w:val="006D662F"/>
    <w:rsid w:val="006E228F"/>
    <w:rsid w:val="006E2A4E"/>
    <w:rsid w:val="006F5669"/>
    <w:rsid w:val="006F7CC2"/>
    <w:rsid w:val="0070225D"/>
    <w:rsid w:val="00707C87"/>
    <w:rsid w:val="007118F2"/>
    <w:rsid w:val="00715529"/>
    <w:rsid w:val="007161EF"/>
    <w:rsid w:val="007214D1"/>
    <w:rsid w:val="007273AE"/>
    <w:rsid w:val="0073017A"/>
    <w:rsid w:val="00735A0F"/>
    <w:rsid w:val="007372BD"/>
    <w:rsid w:val="00737B7A"/>
    <w:rsid w:val="0074360E"/>
    <w:rsid w:val="00745EAB"/>
    <w:rsid w:val="00750F62"/>
    <w:rsid w:val="007535E4"/>
    <w:rsid w:val="00753744"/>
    <w:rsid w:val="00755B8E"/>
    <w:rsid w:val="00757433"/>
    <w:rsid w:val="00760D53"/>
    <w:rsid w:val="007612F1"/>
    <w:rsid w:val="00761FB7"/>
    <w:rsid w:val="0076360B"/>
    <w:rsid w:val="00764050"/>
    <w:rsid w:val="0076638C"/>
    <w:rsid w:val="00771880"/>
    <w:rsid w:val="007723DB"/>
    <w:rsid w:val="00773952"/>
    <w:rsid w:val="00776884"/>
    <w:rsid w:val="00785BAC"/>
    <w:rsid w:val="00790343"/>
    <w:rsid w:val="00791A5C"/>
    <w:rsid w:val="007A0CBE"/>
    <w:rsid w:val="007A2BD4"/>
    <w:rsid w:val="007A353F"/>
    <w:rsid w:val="007A535E"/>
    <w:rsid w:val="007A7040"/>
    <w:rsid w:val="007B5F48"/>
    <w:rsid w:val="007C1F14"/>
    <w:rsid w:val="007D162E"/>
    <w:rsid w:val="007D3CAA"/>
    <w:rsid w:val="007D52F9"/>
    <w:rsid w:val="007E2203"/>
    <w:rsid w:val="007E4E27"/>
    <w:rsid w:val="007E79C8"/>
    <w:rsid w:val="007F5482"/>
    <w:rsid w:val="00800D2C"/>
    <w:rsid w:val="008013D5"/>
    <w:rsid w:val="008016C5"/>
    <w:rsid w:val="008101A2"/>
    <w:rsid w:val="0081070E"/>
    <w:rsid w:val="00811A6F"/>
    <w:rsid w:val="00815D68"/>
    <w:rsid w:val="008173B1"/>
    <w:rsid w:val="00817421"/>
    <w:rsid w:val="00821B39"/>
    <w:rsid w:val="00824F07"/>
    <w:rsid w:val="00825FD9"/>
    <w:rsid w:val="0083012E"/>
    <w:rsid w:val="008301D0"/>
    <w:rsid w:val="00831A88"/>
    <w:rsid w:val="0083625F"/>
    <w:rsid w:val="0084154D"/>
    <w:rsid w:val="008428E5"/>
    <w:rsid w:val="008512B8"/>
    <w:rsid w:val="00851F7B"/>
    <w:rsid w:val="00854EC1"/>
    <w:rsid w:val="00861ABD"/>
    <w:rsid w:val="0086778E"/>
    <w:rsid w:val="00867B66"/>
    <w:rsid w:val="0087113C"/>
    <w:rsid w:val="0087484E"/>
    <w:rsid w:val="00874988"/>
    <w:rsid w:val="00876702"/>
    <w:rsid w:val="0088344E"/>
    <w:rsid w:val="00883ECA"/>
    <w:rsid w:val="00884BD8"/>
    <w:rsid w:val="00885D76"/>
    <w:rsid w:val="0089449E"/>
    <w:rsid w:val="00896F98"/>
    <w:rsid w:val="008A0137"/>
    <w:rsid w:val="008A058F"/>
    <w:rsid w:val="008A0DF5"/>
    <w:rsid w:val="008A1F14"/>
    <w:rsid w:val="008A3353"/>
    <w:rsid w:val="008A528C"/>
    <w:rsid w:val="008A61F3"/>
    <w:rsid w:val="008A685F"/>
    <w:rsid w:val="008B4D54"/>
    <w:rsid w:val="008B7A0C"/>
    <w:rsid w:val="008C0C97"/>
    <w:rsid w:val="008C5A09"/>
    <w:rsid w:val="008E2262"/>
    <w:rsid w:val="008E4B43"/>
    <w:rsid w:val="008E6DEF"/>
    <w:rsid w:val="008F37E9"/>
    <w:rsid w:val="008F5A22"/>
    <w:rsid w:val="008F782E"/>
    <w:rsid w:val="009042C4"/>
    <w:rsid w:val="00905B0C"/>
    <w:rsid w:val="00907435"/>
    <w:rsid w:val="0091163E"/>
    <w:rsid w:val="00915DBD"/>
    <w:rsid w:val="00917EF7"/>
    <w:rsid w:val="00926175"/>
    <w:rsid w:val="00935284"/>
    <w:rsid w:val="00935F9C"/>
    <w:rsid w:val="009361C3"/>
    <w:rsid w:val="00941CC3"/>
    <w:rsid w:val="0094424F"/>
    <w:rsid w:val="0094564D"/>
    <w:rsid w:val="00946923"/>
    <w:rsid w:val="00950E0C"/>
    <w:rsid w:val="00954DAA"/>
    <w:rsid w:val="0095796F"/>
    <w:rsid w:val="0096169D"/>
    <w:rsid w:val="0096411F"/>
    <w:rsid w:val="009663B6"/>
    <w:rsid w:val="00967F8C"/>
    <w:rsid w:val="0097099E"/>
    <w:rsid w:val="00972753"/>
    <w:rsid w:val="00980833"/>
    <w:rsid w:val="00981955"/>
    <w:rsid w:val="00982461"/>
    <w:rsid w:val="00984FC7"/>
    <w:rsid w:val="009960A7"/>
    <w:rsid w:val="009962A4"/>
    <w:rsid w:val="00997DBB"/>
    <w:rsid w:val="009A5D16"/>
    <w:rsid w:val="009A632D"/>
    <w:rsid w:val="009B0904"/>
    <w:rsid w:val="009B223B"/>
    <w:rsid w:val="009B3130"/>
    <w:rsid w:val="009C31B3"/>
    <w:rsid w:val="009C478E"/>
    <w:rsid w:val="009D1CEF"/>
    <w:rsid w:val="009D214A"/>
    <w:rsid w:val="009D33A9"/>
    <w:rsid w:val="009D3BFC"/>
    <w:rsid w:val="009E3DB8"/>
    <w:rsid w:val="009E4318"/>
    <w:rsid w:val="009E494F"/>
    <w:rsid w:val="009F58C9"/>
    <w:rsid w:val="009F701B"/>
    <w:rsid w:val="00A04E17"/>
    <w:rsid w:val="00A061A3"/>
    <w:rsid w:val="00A06E49"/>
    <w:rsid w:val="00A06FFD"/>
    <w:rsid w:val="00A07AD3"/>
    <w:rsid w:val="00A122DA"/>
    <w:rsid w:val="00A15504"/>
    <w:rsid w:val="00A2178B"/>
    <w:rsid w:val="00A2503B"/>
    <w:rsid w:val="00A26CE3"/>
    <w:rsid w:val="00A30B17"/>
    <w:rsid w:val="00A322EB"/>
    <w:rsid w:val="00A332F9"/>
    <w:rsid w:val="00A33B74"/>
    <w:rsid w:val="00A36B18"/>
    <w:rsid w:val="00A3726F"/>
    <w:rsid w:val="00A37942"/>
    <w:rsid w:val="00A40F8E"/>
    <w:rsid w:val="00A43167"/>
    <w:rsid w:val="00A441C3"/>
    <w:rsid w:val="00A47A09"/>
    <w:rsid w:val="00A47ED8"/>
    <w:rsid w:val="00A53534"/>
    <w:rsid w:val="00A57270"/>
    <w:rsid w:val="00A57EC6"/>
    <w:rsid w:val="00A620D3"/>
    <w:rsid w:val="00A6213E"/>
    <w:rsid w:val="00A72014"/>
    <w:rsid w:val="00A72540"/>
    <w:rsid w:val="00A76542"/>
    <w:rsid w:val="00A8159A"/>
    <w:rsid w:val="00A81777"/>
    <w:rsid w:val="00A84EFA"/>
    <w:rsid w:val="00A86377"/>
    <w:rsid w:val="00A90002"/>
    <w:rsid w:val="00A93A2A"/>
    <w:rsid w:val="00A95621"/>
    <w:rsid w:val="00A95BB7"/>
    <w:rsid w:val="00AA1CCB"/>
    <w:rsid w:val="00AA54D9"/>
    <w:rsid w:val="00AC146F"/>
    <w:rsid w:val="00AD0502"/>
    <w:rsid w:val="00AD0CDF"/>
    <w:rsid w:val="00AD0D3D"/>
    <w:rsid w:val="00AD0D67"/>
    <w:rsid w:val="00AD4737"/>
    <w:rsid w:val="00AD5710"/>
    <w:rsid w:val="00AD59BC"/>
    <w:rsid w:val="00AD5D51"/>
    <w:rsid w:val="00AE5BC1"/>
    <w:rsid w:val="00AE7FC5"/>
    <w:rsid w:val="00AF02B6"/>
    <w:rsid w:val="00AF2B92"/>
    <w:rsid w:val="00AF3023"/>
    <w:rsid w:val="00AF4C4C"/>
    <w:rsid w:val="00AF5BC1"/>
    <w:rsid w:val="00AF7FD6"/>
    <w:rsid w:val="00B0145D"/>
    <w:rsid w:val="00B039B4"/>
    <w:rsid w:val="00B04C09"/>
    <w:rsid w:val="00B074BD"/>
    <w:rsid w:val="00B0765D"/>
    <w:rsid w:val="00B07952"/>
    <w:rsid w:val="00B12596"/>
    <w:rsid w:val="00B24CCF"/>
    <w:rsid w:val="00B25FD2"/>
    <w:rsid w:val="00B364A0"/>
    <w:rsid w:val="00B37E6A"/>
    <w:rsid w:val="00B40A81"/>
    <w:rsid w:val="00B437C8"/>
    <w:rsid w:val="00B43C0F"/>
    <w:rsid w:val="00B4511E"/>
    <w:rsid w:val="00B4768B"/>
    <w:rsid w:val="00B47775"/>
    <w:rsid w:val="00B51CA0"/>
    <w:rsid w:val="00B52BA6"/>
    <w:rsid w:val="00B56CDC"/>
    <w:rsid w:val="00B65EFA"/>
    <w:rsid w:val="00B65F30"/>
    <w:rsid w:val="00B705B3"/>
    <w:rsid w:val="00B71D3A"/>
    <w:rsid w:val="00B71E7C"/>
    <w:rsid w:val="00B720A8"/>
    <w:rsid w:val="00B72865"/>
    <w:rsid w:val="00B76551"/>
    <w:rsid w:val="00B84929"/>
    <w:rsid w:val="00B84F50"/>
    <w:rsid w:val="00B961F3"/>
    <w:rsid w:val="00B9658E"/>
    <w:rsid w:val="00BA5464"/>
    <w:rsid w:val="00BA7FC1"/>
    <w:rsid w:val="00BB028D"/>
    <w:rsid w:val="00BB21F0"/>
    <w:rsid w:val="00BB237D"/>
    <w:rsid w:val="00BB271A"/>
    <w:rsid w:val="00BB3091"/>
    <w:rsid w:val="00BB4A08"/>
    <w:rsid w:val="00BB77A3"/>
    <w:rsid w:val="00BC604A"/>
    <w:rsid w:val="00BC73E6"/>
    <w:rsid w:val="00BD07BA"/>
    <w:rsid w:val="00BD357C"/>
    <w:rsid w:val="00BD3BAF"/>
    <w:rsid w:val="00BD6973"/>
    <w:rsid w:val="00BE04D6"/>
    <w:rsid w:val="00BE11BF"/>
    <w:rsid w:val="00BE731B"/>
    <w:rsid w:val="00BE7950"/>
    <w:rsid w:val="00BF6128"/>
    <w:rsid w:val="00C029AC"/>
    <w:rsid w:val="00C17981"/>
    <w:rsid w:val="00C227DA"/>
    <w:rsid w:val="00C22F15"/>
    <w:rsid w:val="00C22F42"/>
    <w:rsid w:val="00C23166"/>
    <w:rsid w:val="00C234B4"/>
    <w:rsid w:val="00C343AE"/>
    <w:rsid w:val="00C34952"/>
    <w:rsid w:val="00C4097D"/>
    <w:rsid w:val="00C43EA6"/>
    <w:rsid w:val="00C443BA"/>
    <w:rsid w:val="00C45E8D"/>
    <w:rsid w:val="00C51396"/>
    <w:rsid w:val="00C51930"/>
    <w:rsid w:val="00C52643"/>
    <w:rsid w:val="00C533AA"/>
    <w:rsid w:val="00C55FB4"/>
    <w:rsid w:val="00C64A40"/>
    <w:rsid w:val="00C6544A"/>
    <w:rsid w:val="00C65D64"/>
    <w:rsid w:val="00C66B08"/>
    <w:rsid w:val="00C72956"/>
    <w:rsid w:val="00C73DE0"/>
    <w:rsid w:val="00C759CB"/>
    <w:rsid w:val="00C75BFB"/>
    <w:rsid w:val="00C8005D"/>
    <w:rsid w:val="00C97A35"/>
    <w:rsid w:val="00CA0D9E"/>
    <w:rsid w:val="00CA1E6A"/>
    <w:rsid w:val="00CA429E"/>
    <w:rsid w:val="00CA48CC"/>
    <w:rsid w:val="00CA5934"/>
    <w:rsid w:val="00CA5E5B"/>
    <w:rsid w:val="00CB0814"/>
    <w:rsid w:val="00CB371F"/>
    <w:rsid w:val="00CB7200"/>
    <w:rsid w:val="00CC1929"/>
    <w:rsid w:val="00CC69E7"/>
    <w:rsid w:val="00CD28C3"/>
    <w:rsid w:val="00CD4E51"/>
    <w:rsid w:val="00CD6ED7"/>
    <w:rsid w:val="00CE0C7F"/>
    <w:rsid w:val="00CE1288"/>
    <w:rsid w:val="00CE3569"/>
    <w:rsid w:val="00CE375E"/>
    <w:rsid w:val="00CE3849"/>
    <w:rsid w:val="00CE4010"/>
    <w:rsid w:val="00CE4D7F"/>
    <w:rsid w:val="00CF0BFC"/>
    <w:rsid w:val="00CF10FD"/>
    <w:rsid w:val="00CF1AE8"/>
    <w:rsid w:val="00CF250B"/>
    <w:rsid w:val="00CF6596"/>
    <w:rsid w:val="00CF6740"/>
    <w:rsid w:val="00D04521"/>
    <w:rsid w:val="00D0792B"/>
    <w:rsid w:val="00D10B16"/>
    <w:rsid w:val="00D15130"/>
    <w:rsid w:val="00D1679A"/>
    <w:rsid w:val="00D25587"/>
    <w:rsid w:val="00D3425A"/>
    <w:rsid w:val="00D3481C"/>
    <w:rsid w:val="00D35C5C"/>
    <w:rsid w:val="00D36049"/>
    <w:rsid w:val="00D36762"/>
    <w:rsid w:val="00D45492"/>
    <w:rsid w:val="00D54220"/>
    <w:rsid w:val="00D57CDF"/>
    <w:rsid w:val="00D61FE4"/>
    <w:rsid w:val="00D658D1"/>
    <w:rsid w:val="00D67C23"/>
    <w:rsid w:val="00D72885"/>
    <w:rsid w:val="00D72D2F"/>
    <w:rsid w:val="00D750D5"/>
    <w:rsid w:val="00D76EA7"/>
    <w:rsid w:val="00D842DB"/>
    <w:rsid w:val="00D91DC8"/>
    <w:rsid w:val="00D92939"/>
    <w:rsid w:val="00DA670D"/>
    <w:rsid w:val="00DA76B5"/>
    <w:rsid w:val="00DB09A2"/>
    <w:rsid w:val="00DB3601"/>
    <w:rsid w:val="00DB5CD0"/>
    <w:rsid w:val="00DB6F3E"/>
    <w:rsid w:val="00DC5D74"/>
    <w:rsid w:val="00DD0494"/>
    <w:rsid w:val="00DD646D"/>
    <w:rsid w:val="00DD6E3A"/>
    <w:rsid w:val="00DD6E96"/>
    <w:rsid w:val="00DE1E6C"/>
    <w:rsid w:val="00DE2409"/>
    <w:rsid w:val="00DE3803"/>
    <w:rsid w:val="00DE5F32"/>
    <w:rsid w:val="00DE7C73"/>
    <w:rsid w:val="00DF397D"/>
    <w:rsid w:val="00DF5B00"/>
    <w:rsid w:val="00DF7C5A"/>
    <w:rsid w:val="00E02731"/>
    <w:rsid w:val="00E21E9A"/>
    <w:rsid w:val="00E2213D"/>
    <w:rsid w:val="00E2541B"/>
    <w:rsid w:val="00E25517"/>
    <w:rsid w:val="00E25D85"/>
    <w:rsid w:val="00E27197"/>
    <w:rsid w:val="00E312A7"/>
    <w:rsid w:val="00E322EB"/>
    <w:rsid w:val="00E345B1"/>
    <w:rsid w:val="00E36F6C"/>
    <w:rsid w:val="00E41E4E"/>
    <w:rsid w:val="00E457F7"/>
    <w:rsid w:val="00E5423E"/>
    <w:rsid w:val="00E61416"/>
    <w:rsid w:val="00E7529E"/>
    <w:rsid w:val="00E76930"/>
    <w:rsid w:val="00E77AE9"/>
    <w:rsid w:val="00E812AE"/>
    <w:rsid w:val="00E82BE9"/>
    <w:rsid w:val="00E87163"/>
    <w:rsid w:val="00E95B20"/>
    <w:rsid w:val="00EA39FB"/>
    <w:rsid w:val="00EA48CA"/>
    <w:rsid w:val="00EA70C6"/>
    <w:rsid w:val="00EB3EF1"/>
    <w:rsid w:val="00EB47AD"/>
    <w:rsid w:val="00EB5627"/>
    <w:rsid w:val="00EC0C91"/>
    <w:rsid w:val="00EC25B8"/>
    <w:rsid w:val="00EC455A"/>
    <w:rsid w:val="00EC57C6"/>
    <w:rsid w:val="00ED6382"/>
    <w:rsid w:val="00EE3A01"/>
    <w:rsid w:val="00EE431A"/>
    <w:rsid w:val="00EE6C0C"/>
    <w:rsid w:val="00EF519D"/>
    <w:rsid w:val="00F00C6D"/>
    <w:rsid w:val="00F0207E"/>
    <w:rsid w:val="00F036A4"/>
    <w:rsid w:val="00F067E4"/>
    <w:rsid w:val="00F070CF"/>
    <w:rsid w:val="00F12AD6"/>
    <w:rsid w:val="00F13F0F"/>
    <w:rsid w:val="00F149C2"/>
    <w:rsid w:val="00F16519"/>
    <w:rsid w:val="00F2002B"/>
    <w:rsid w:val="00F20F41"/>
    <w:rsid w:val="00F217AB"/>
    <w:rsid w:val="00F222EC"/>
    <w:rsid w:val="00F22C6B"/>
    <w:rsid w:val="00F23ACB"/>
    <w:rsid w:val="00F244CD"/>
    <w:rsid w:val="00F32670"/>
    <w:rsid w:val="00F41E17"/>
    <w:rsid w:val="00F45CC6"/>
    <w:rsid w:val="00F47321"/>
    <w:rsid w:val="00F51294"/>
    <w:rsid w:val="00F53457"/>
    <w:rsid w:val="00F547A5"/>
    <w:rsid w:val="00F60F83"/>
    <w:rsid w:val="00F66E63"/>
    <w:rsid w:val="00F703D1"/>
    <w:rsid w:val="00F778E4"/>
    <w:rsid w:val="00F77C28"/>
    <w:rsid w:val="00F94420"/>
    <w:rsid w:val="00FA053D"/>
    <w:rsid w:val="00FA5BC7"/>
    <w:rsid w:val="00FA7E93"/>
    <w:rsid w:val="00FB11B3"/>
    <w:rsid w:val="00FB3418"/>
    <w:rsid w:val="00FB65BB"/>
    <w:rsid w:val="00FB7E98"/>
    <w:rsid w:val="00FC264A"/>
    <w:rsid w:val="00FC2EAC"/>
    <w:rsid w:val="00FC7F75"/>
    <w:rsid w:val="00FD0866"/>
    <w:rsid w:val="00FD253D"/>
    <w:rsid w:val="00FD3F7E"/>
    <w:rsid w:val="00FE3171"/>
    <w:rsid w:val="00FE4D79"/>
    <w:rsid w:val="00FF3D7A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A80454"/>
  <w15:docId w15:val="{7EAB0775-4B95-4A4F-B5CC-B49BD5FC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4C8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30B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B1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39450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356B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20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66E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1679A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CA5E5B"/>
    <w:pPr>
      <w:spacing w:before="100" w:beforeAutospacing="1" w:after="100" w:afterAutospacing="1"/>
    </w:pPr>
    <w:rPr>
      <w:rFonts w:eastAsia="Calibri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49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98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9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988"/>
    <w:rPr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A30B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B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GridTable1Light">
    <w:name w:val="Grid Table 1 Light"/>
    <w:basedOn w:val="TableNormal"/>
    <w:uiPriority w:val="46"/>
    <w:rsid w:val="00494991"/>
    <w:rPr>
      <w:rFonts w:asciiTheme="minorHAnsi" w:eastAsiaTheme="minorHAnsi" w:hAnsiTheme="minorHAnsi" w:cstheme="minorHAns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i-provider">
    <w:name w:val="ui-provider"/>
    <w:basedOn w:val="DefaultParagraphFont"/>
    <w:rsid w:val="008A0137"/>
  </w:style>
  <w:style w:type="character" w:styleId="Strong">
    <w:name w:val="Strong"/>
    <w:basedOn w:val="DefaultParagraphFont"/>
    <w:uiPriority w:val="22"/>
    <w:qFormat/>
    <w:rsid w:val="008A013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33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lhinfo.com/userfiles/file/Board/Meetings/Board_Meetings/2024/28032024/APPENDIX-A-ITEM-8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lhinfo.com/userfiles/file/Board/Meetings/Board_Meetings/2024/28032024/APPENDIX-B-ITEM-8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lhinfo.com/userfiles/file/Board/Meetings/Board_Meetings/2024/28032024/APPENDIX-B-ITEM-8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lhinfo.com/userfiles/file/Board/Meetings/Board_Meetings/2024/28032024/APPENDIX-A-ITEM-8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lhinfo.com/userfiles/file/Board/Meetings/Board_Meetings/2024/28032024/APPENDIX-A-ITEM-8.docx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lhinfo.com/userfiles/file/Board/Meetings/Board_Meetings/2024/28032024/F-Item-8C-Budget-Approval-Pricing-App-C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B708E42E7E345B8456CCFC18D9783" ma:contentTypeVersion="15" ma:contentTypeDescription="Create a new document." ma:contentTypeScope="" ma:versionID="6e69afbc6062a71d43155f6a641c4fef">
  <xsd:schema xmlns:xsd="http://www.w3.org/2001/XMLSchema" xmlns:xs="http://www.w3.org/2001/XMLSchema" xmlns:p="http://schemas.microsoft.com/office/2006/metadata/properties" xmlns:ns2="38414d70-2a13-4ef6-81dd-46a0748d05f7" xmlns:ns3="8ad5fbb2-2192-4c06-97aa-b19be9df9d85" targetNamespace="http://schemas.microsoft.com/office/2006/metadata/properties" ma:root="true" ma:fieldsID="31c566ca5ea17c4326f446d7d511e359" ns2:_="" ns3:_="">
    <xsd:import namespace="38414d70-2a13-4ef6-81dd-46a0748d05f7"/>
    <xsd:import namespace="8ad5fbb2-2192-4c06-97aa-b19be9df9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14d70-2a13-4ef6-81dd-46a0748d0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fbb2-2192-4c06-97aa-b19be9df9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a5b9385-0170-49a4-9f58-25f3e2033525}" ma:internalName="TaxCatchAll" ma:showField="CatchAllData" ma:web="8ad5fbb2-2192-4c06-97aa-b19be9df9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d5fbb2-2192-4c06-97aa-b19be9df9d85" xsi:nil="true"/>
    <lcf76f155ced4ddcb4097134ff3c332f xmlns="38414d70-2a13-4ef6-81dd-46a0748d05f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210DF9-C561-45DD-A704-BF00A205C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14d70-2a13-4ef6-81dd-46a0748d05f7"/>
    <ds:schemaRef ds:uri="8ad5fbb2-2192-4c06-97aa-b19be9df9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3BF923-2133-4972-BD9A-2364A29922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4BFBAA-43EE-49EB-898C-43B2A08BA117}">
  <ds:schemaRefs>
    <ds:schemaRef ds:uri="http://schemas.microsoft.com/office/2006/metadata/properties"/>
    <ds:schemaRef ds:uri="http://schemas.microsoft.com/office/infopath/2007/PartnerControls"/>
    <ds:schemaRef ds:uri="8ad5fbb2-2192-4c06-97aa-b19be9df9d85"/>
    <ds:schemaRef ds:uri="38414d70-2a13-4ef6-81dd-46a0748d05f7"/>
  </ds:schemaRefs>
</ds:datastoreItem>
</file>

<file path=customXml/itemProps4.xml><?xml version="1.0" encoding="utf-8"?>
<ds:datastoreItem xmlns:ds="http://schemas.openxmlformats.org/officeDocument/2006/customXml" ds:itemID="{901BDCD3-CA9A-477B-870A-0DA2828004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6</Pages>
  <Words>1216</Words>
  <Characters>8526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HIGHLAND COUNCIL</vt:lpstr>
    </vt:vector>
  </TitlesOfParts>
  <Company>.</Company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HIGHLAND COUNCIL</dc:title>
  <dc:creator>donnamd</dc:creator>
  <cp:lastModifiedBy>Joyce Donaldson (HLH Culture &amp; Learning)</cp:lastModifiedBy>
  <cp:revision>99</cp:revision>
  <cp:lastPrinted>2023-02-28T09:19:00Z</cp:lastPrinted>
  <dcterms:created xsi:type="dcterms:W3CDTF">2023-02-28T09:19:00Z</dcterms:created>
  <dcterms:modified xsi:type="dcterms:W3CDTF">2024-03-27T16:37:00Z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0x010100326F0DD31997E341B67A23DBB3CC1DFF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