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78"/>
        <w:ind w:right="136"/>
        <w:jc w:val="right"/>
      </w:pPr>
      <w:bookmarkStart w:name="Appendix E" w:id="1"/>
      <w:bookmarkEnd w:id="1"/>
      <w:r>
        <w:rPr/>
      </w:r>
      <w:bookmarkStart w:name="Agenda " w:id="2"/>
      <w:bookmarkEnd w:id="2"/>
      <w:r>
        <w:rPr/>
      </w:r>
      <w:bookmarkStart w:name="Item 3 - Strategy on a Page" w:id="3"/>
      <w:bookmarkEnd w:id="3"/>
      <w:r>
        <w:rPr/>
      </w:r>
      <w:bookmarkStart w:name="Item 4 i HLH Board minutes" w:id="4"/>
      <w:bookmarkEnd w:id="4"/>
      <w:r>
        <w:rPr/>
      </w:r>
      <w:bookmarkStart w:name="Item 4 ii F and A Committee minute Maste" w:id="5"/>
      <w:bookmarkEnd w:id="5"/>
      <w:r>
        <w:rPr/>
      </w:r>
      <w:bookmarkStart w:name="Item 4 iii HSEC minutes 250512" w:id="6"/>
      <w:bookmarkEnd w:id="6"/>
      <w:r>
        <w:rPr/>
      </w:r>
      <w:bookmarkStart w:name="Item 4 iv HLH Trading Minutes" w:id="7"/>
      <w:bookmarkEnd w:id="7"/>
      <w:r>
        <w:rPr/>
      </w:r>
      <w:bookmarkStart w:name="Item 5 - Board Matters Arising from 1903" w:id="8"/>
      <w:bookmarkEnd w:id="8"/>
      <w:r>
        <w:rPr/>
      </w:r>
      <w:bookmarkStart w:name="Item 7  - Operations and Governance - Co" w:id="9"/>
      <w:bookmarkEnd w:id="9"/>
      <w:r>
        <w:rPr/>
      </w:r>
      <w:bookmarkStart w:name="Item 8 -  Inverness Castle Experience Up" w:id="10"/>
      <w:bookmarkEnd w:id="10"/>
      <w:r>
        <w:rPr/>
      </w:r>
      <w:bookmarkStart w:name="Item 9 - Finance Report 180625" w:id="11"/>
      <w:bookmarkEnd w:id="11"/>
      <w:r>
        <w:rPr/>
      </w:r>
      <w:bookmarkStart w:name="Appendix F1" w:id="12"/>
      <w:bookmarkEnd w:id="12"/>
      <w:r>
        <w:rPr/>
      </w:r>
      <w:bookmarkStart w:name="Item 10 - Q4 Performance Report 24-25 V2" w:id="13"/>
      <w:bookmarkEnd w:id="13"/>
      <w:r>
        <w:rPr/>
      </w:r>
      <w:bookmarkStart w:name="Appendix B" w:id="14"/>
      <w:bookmarkEnd w:id="14"/>
      <w:r>
        <w:rPr/>
      </w:r>
      <w:bookmarkStart w:name="Appendix C" w:id="15"/>
      <w:bookmarkEnd w:id="15"/>
      <w:r>
        <w:rPr/>
      </w:r>
      <w:bookmarkStart w:name="Appendix D" w:id="16"/>
      <w:bookmarkEnd w:id="16"/>
      <w:r>
        <w:rPr/>
      </w:r>
      <w:bookmarkStart w:name="Appendix E" w:id="17"/>
      <w:bookmarkEnd w:id="17"/>
      <w:r>
        <w:rPr/>
      </w:r>
      <w:bookmarkStart w:name="Item 11 - Health and Safety Annual Repor" w:id="18"/>
      <w:bookmarkEnd w:id="18"/>
      <w:r>
        <w:rPr/>
      </w:r>
      <w:bookmarkStart w:name="Appendix A" w:id="19"/>
      <w:bookmarkEnd w:id="19"/>
      <w:r>
        <w:rPr/>
      </w:r>
      <w:bookmarkStart w:name="Item 12 - HR Report" w:id="20"/>
      <w:bookmarkEnd w:id="20"/>
      <w:r>
        <w:rPr/>
      </w:r>
      <w:bookmarkStart w:name="Item 13 - CE Update" w:id="21"/>
      <w:bookmarkEnd w:id="21"/>
      <w:r>
        <w:rPr/>
      </w:r>
      <w:r>
        <w:rPr/>
        <w:t>Glenurquhart</w:t>
      </w:r>
      <w:r>
        <w:rPr>
          <w:spacing w:val="-6"/>
        </w:rPr>
        <w:t> </w:t>
      </w:r>
      <w:r>
        <w:rPr>
          <w:spacing w:val="-4"/>
        </w:rPr>
        <w:t>Road</w:t>
      </w:r>
    </w:p>
    <w:p>
      <w:pPr>
        <w:pStyle w:val="BodyText"/>
        <w:ind w:left="8747" w:right="136" w:hanging="149"/>
        <w:jc w:val="right"/>
      </w:pPr>
      <w:r>
        <w:rPr>
          <w:spacing w:val="-2"/>
        </w:rPr>
        <w:t>Inverness </w:t>
      </w:r>
      <w:r>
        <w:rPr/>
        <w:t>IV3</w:t>
      </w:r>
      <w:r>
        <w:rPr>
          <w:spacing w:val="1"/>
        </w:rPr>
        <w:t> </w:t>
      </w:r>
      <w:r>
        <w:rPr>
          <w:spacing w:val="-5"/>
        </w:rPr>
        <w:t>5NX</w:t>
      </w:r>
    </w:p>
    <w:p>
      <w:pPr>
        <w:pStyle w:val="BodyText"/>
      </w:pPr>
    </w:p>
    <w:p>
      <w:pPr>
        <w:pStyle w:val="BodyText"/>
        <w:ind w:right="137"/>
        <w:jc w:val="right"/>
      </w:pPr>
      <w:r>
        <w:rPr/>
        <w:t>10</w:t>
      </w:r>
      <w:r>
        <w:rPr>
          <w:spacing w:val="-1"/>
        </w:rPr>
        <w:t> </w:t>
      </w:r>
      <w:r>
        <w:rPr/>
        <w:t>June</w:t>
      </w:r>
      <w:r>
        <w:rPr>
          <w:spacing w:val="-1"/>
        </w:rPr>
        <w:t> </w:t>
      </w:r>
      <w:r>
        <w:rPr>
          <w:spacing w:val="-4"/>
        </w:rPr>
        <w:t>2025</w:t>
      </w:r>
    </w:p>
    <w:p>
      <w:pPr>
        <w:pStyle w:val="BodyText"/>
      </w:pPr>
    </w:p>
    <w:p>
      <w:pPr>
        <w:pStyle w:val="Heading1"/>
        <w:ind w:left="143" w:firstLine="0"/>
      </w:pPr>
      <w:r>
        <w:rPr/>
        <w:t>To:</w:t>
      </w:r>
      <w:r>
        <w:rPr>
          <w:spacing w:val="-3"/>
        </w:rPr>
        <w:t> </w:t>
      </w:r>
      <w:r>
        <w:rPr/>
        <w:t>Directors</w:t>
      </w:r>
      <w:r>
        <w:rPr>
          <w:spacing w:val="-1"/>
        </w:rPr>
        <w:t> </w:t>
      </w:r>
      <w:r>
        <w:rPr/>
        <w:t>of</w:t>
      </w:r>
      <w:r>
        <w:rPr>
          <w:spacing w:val="-3"/>
        </w:rPr>
        <w:t> </w:t>
      </w:r>
      <w:r>
        <w:rPr/>
        <w:t>the</w:t>
      </w:r>
      <w:r>
        <w:rPr>
          <w:spacing w:val="-1"/>
        </w:rPr>
        <w:t> </w:t>
      </w:r>
      <w:r>
        <w:rPr/>
        <w:t>Board</w:t>
      </w:r>
      <w:r>
        <w:rPr>
          <w:spacing w:val="-2"/>
        </w:rPr>
        <w:t> </w:t>
      </w:r>
      <w:r>
        <w:rPr/>
        <w:t>of</w:t>
      </w:r>
      <w:r>
        <w:rPr>
          <w:spacing w:val="-3"/>
        </w:rPr>
        <w:t> </w:t>
      </w:r>
      <w:r>
        <w:rPr/>
        <w:t>High</w:t>
      </w:r>
      <w:r>
        <w:rPr>
          <w:spacing w:val="-2"/>
        </w:rPr>
        <w:t> </w:t>
      </w:r>
      <w:r>
        <w:rPr/>
        <w:t>Life</w:t>
      </w:r>
      <w:r>
        <w:rPr>
          <w:spacing w:val="-1"/>
        </w:rPr>
        <w:t> </w:t>
      </w:r>
      <w:r>
        <w:rPr>
          <w:spacing w:val="-2"/>
        </w:rPr>
        <w:t>Highland</w:t>
      </w:r>
    </w:p>
    <w:p>
      <w:pPr>
        <w:pStyle w:val="BodyText"/>
        <w:spacing w:before="54"/>
        <w:rPr>
          <w:b/>
          <w:sz w:val="20"/>
        </w:rPr>
      </w:pPr>
    </w:p>
    <w:tbl>
      <w:tblPr>
        <w:tblW w:w="0" w:type="auto"/>
        <w:jc w:val="left"/>
        <w:tblInd w:w="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428"/>
        <w:gridCol w:w="2841"/>
      </w:tblGrid>
      <w:tr>
        <w:trPr>
          <w:trHeight w:val="1648" w:hRule="atLeast"/>
        </w:trPr>
        <w:tc>
          <w:tcPr>
            <w:tcW w:w="2428" w:type="dxa"/>
          </w:tcPr>
          <w:p>
            <w:pPr>
              <w:pStyle w:val="TableParagraph"/>
              <w:ind w:right="437"/>
              <w:rPr>
                <w:sz w:val="24"/>
              </w:rPr>
            </w:pPr>
            <w:r>
              <w:rPr>
                <w:sz w:val="24"/>
              </w:rPr>
              <w:t>Michael Boylan Biz Campbell David</w:t>
            </w:r>
            <w:r>
              <w:rPr>
                <w:spacing w:val="-17"/>
                <w:sz w:val="24"/>
              </w:rPr>
              <w:t> </w:t>
            </w:r>
            <w:r>
              <w:rPr>
                <w:sz w:val="24"/>
              </w:rPr>
              <w:t>Finlayson </w:t>
            </w:r>
            <w:bookmarkStart w:name="Appendix B" w:id="22"/>
            <w:bookmarkEnd w:id="22"/>
            <w:r>
              <w:rPr>
                <w:sz w:val="24"/>
              </w:rPr>
            </w:r>
            <w:bookmarkStart w:name="Appendix D" w:id="23"/>
            <w:bookmarkEnd w:id="23"/>
            <w:r>
              <w:rPr>
                <w:sz w:val="24"/>
              </w:rPr>
            </w:r>
            <w:bookmarkStart w:name="Appendix F" w:id="24"/>
            <w:bookmarkEnd w:id="24"/>
            <w:r>
              <w:rPr>
                <w:sz w:val="24"/>
              </w:rPr>
            </w:r>
            <w:bookmarkStart w:name="Appendix A " w:id="25"/>
            <w:bookmarkEnd w:id="25"/>
            <w:r>
              <w:rPr>
                <w:sz w:val="24"/>
              </w:rPr>
              <w:t>Ni</w:t>
            </w:r>
            <w:r>
              <w:rPr>
                <w:sz w:val="24"/>
              </w:rPr>
              <w:t>ck Finnigan Michael</w:t>
            </w:r>
            <w:r>
              <w:rPr>
                <w:spacing w:val="-17"/>
                <w:sz w:val="24"/>
              </w:rPr>
              <w:t> </w:t>
            </w:r>
            <w:r>
              <w:rPr>
                <w:sz w:val="24"/>
              </w:rPr>
              <w:t>Golding</w:t>
            </w:r>
          </w:p>
          <w:p>
            <w:pPr>
              <w:pStyle w:val="TableParagraph"/>
              <w:spacing w:line="256" w:lineRule="exact"/>
              <w:rPr>
                <w:sz w:val="24"/>
              </w:rPr>
            </w:pPr>
            <w:bookmarkStart w:name="Appendix A" w:id="26"/>
            <w:bookmarkEnd w:id="26"/>
            <w:r>
              <w:rPr/>
            </w:r>
            <w:r>
              <w:rPr>
                <w:sz w:val="24"/>
              </w:rPr>
              <w:t>Roddy</w:t>
            </w:r>
            <w:r>
              <w:rPr>
                <w:spacing w:val="-1"/>
                <w:sz w:val="24"/>
              </w:rPr>
              <w:t> </w:t>
            </w:r>
            <w:r>
              <w:rPr>
                <w:spacing w:val="-2"/>
                <w:sz w:val="24"/>
              </w:rPr>
              <w:t>Henry</w:t>
            </w:r>
          </w:p>
        </w:tc>
        <w:tc>
          <w:tcPr>
            <w:tcW w:w="2841" w:type="dxa"/>
          </w:tcPr>
          <w:p>
            <w:pPr>
              <w:pStyle w:val="TableParagraph"/>
              <w:ind w:left="655" w:right="48"/>
              <w:rPr>
                <w:sz w:val="24"/>
              </w:rPr>
            </w:pPr>
            <w:r>
              <w:rPr>
                <w:sz w:val="24"/>
              </w:rPr>
              <w:t>Marianne</w:t>
            </w:r>
            <w:r>
              <w:rPr>
                <w:spacing w:val="-17"/>
                <w:sz w:val="24"/>
              </w:rPr>
              <w:t> </w:t>
            </w:r>
            <w:r>
              <w:rPr>
                <w:sz w:val="24"/>
              </w:rPr>
              <w:t>Hutchison Andrew Jarvie Tracy Ligema</w:t>
            </w:r>
          </w:p>
          <w:p>
            <w:pPr>
              <w:pStyle w:val="TableParagraph"/>
              <w:spacing w:line="270" w:lineRule="atLeast"/>
              <w:ind w:left="655" w:right="985"/>
              <w:jc w:val="both"/>
              <w:rPr>
                <w:sz w:val="24"/>
              </w:rPr>
            </w:pPr>
            <w:r>
              <w:rPr>
                <w:sz w:val="24"/>
              </w:rPr>
              <w:t>Drew</w:t>
            </w:r>
            <w:r>
              <w:rPr>
                <w:spacing w:val="-17"/>
                <w:sz w:val="24"/>
              </w:rPr>
              <w:t> </w:t>
            </w:r>
            <w:r>
              <w:rPr>
                <w:sz w:val="24"/>
              </w:rPr>
              <w:t>Millar Kerry</w:t>
            </w:r>
            <w:r>
              <w:rPr>
                <w:spacing w:val="-17"/>
                <w:sz w:val="24"/>
              </w:rPr>
              <w:t> </w:t>
            </w:r>
            <w:r>
              <w:rPr>
                <w:sz w:val="24"/>
              </w:rPr>
              <w:t>Ross Alli Vass</w:t>
            </w:r>
          </w:p>
        </w:tc>
      </w:tr>
    </w:tbl>
    <w:p>
      <w:pPr>
        <w:pStyle w:val="BodyText"/>
        <w:rPr>
          <w:b/>
        </w:rPr>
      </w:pPr>
    </w:p>
    <w:p>
      <w:pPr>
        <w:pStyle w:val="BodyText"/>
        <w:rPr>
          <w:b/>
        </w:rPr>
      </w:pPr>
    </w:p>
    <w:p>
      <w:pPr>
        <w:pStyle w:val="BodyText"/>
        <w:ind w:left="143"/>
      </w:pPr>
      <w:bookmarkStart w:name="Appendix A" w:id="27"/>
      <w:bookmarkEnd w:id="27"/>
      <w:r>
        <w:rPr/>
      </w:r>
      <w:bookmarkStart w:name="Appendix C" w:id="28"/>
      <w:bookmarkEnd w:id="28"/>
      <w:r>
        <w:rPr/>
      </w:r>
      <w:r>
        <w:rPr/>
        <w:t>Dear</w:t>
      </w:r>
      <w:r>
        <w:rPr>
          <w:spacing w:val="-2"/>
        </w:rPr>
        <w:t> Director</w:t>
      </w:r>
    </w:p>
    <w:p>
      <w:pPr>
        <w:pStyle w:val="BodyText"/>
      </w:pPr>
    </w:p>
    <w:p>
      <w:pPr>
        <w:spacing w:before="0"/>
        <w:ind w:left="143" w:right="0" w:firstLine="0"/>
        <w:jc w:val="left"/>
        <w:rPr>
          <w:b/>
          <w:sz w:val="24"/>
        </w:rPr>
      </w:pPr>
      <w:r>
        <w:rPr>
          <w:sz w:val="24"/>
        </w:rPr>
        <w:t>A meeting of the Board of </w:t>
      </w:r>
      <w:r>
        <w:rPr>
          <w:b/>
          <w:sz w:val="24"/>
        </w:rPr>
        <w:t>High Life Highland </w:t>
      </w:r>
      <w:r>
        <w:rPr>
          <w:sz w:val="24"/>
        </w:rPr>
        <w:t>will take place in </w:t>
      </w:r>
      <w:r>
        <w:rPr>
          <w:b/>
          <w:sz w:val="24"/>
        </w:rPr>
        <w:t>Boardroom, Inverness Library, Farraline Park, Inverness </w:t>
      </w:r>
      <w:r>
        <w:rPr>
          <w:sz w:val="24"/>
        </w:rPr>
        <w:t>on </w:t>
      </w:r>
      <w:r>
        <w:rPr>
          <w:b/>
          <w:sz w:val="24"/>
        </w:rPr>
        <w:t>Wednesday 18 June 2025 </w:t>
      </w:r>
      <w:r>
        <w:rPr>
          <w:sz w:val="24"/>
        </w:rPr>
        <w:t>at </w:t>
      </w:r>
      <w:r>
        <w:rPr>
          <w:b/>
          <w:sz w:val="24"/>
        </w:rPr>
        <w:t>2.00 pm.</w:t>
      </w:r>
    </w:p>
    <w:p>
      <w:pPr>
        <w:pStyle w:val="BodyText"/>
        <w:rPr>
          <w:b/>
        </w:rPr>
      </w:pPr>
    </w:p>
    <w:p>
      <w:pPr>
        <w:pStyle w:val="BodyText"/>
        <w:ind w:left="143"/>
      </w:pPr>
      <w:r>
        <w:rPr/>
        <w:t>Yours</w:t>
      </w:r>
      <w:r>
        <w:rPr>
          <w:spacing w:val="-1"/>
        </w:rPr>
        <w:t> </w:t>
      </w:r>
      <w:r>
        <w:rPr>
          <w:spacing w:val="-2"/>
        </w:rPr>
        <w:t>faithfully</w:t>
      </w:r>
    </w:p>
    <w:p>
      <w:pPr>
        <w:spacing w:before="137"/>
        <w:ind w:left="143" w:right="6195" w:firstLine="0"/>
        <w:jc w:val="left"/>
        <w:rPr>
          <w:b/>
          <w:sz w:val="24"/>
        </w:rPr>
      </w:pPr>
      <w:r>
        <w:rPr>
          <w:b/>
          <w:sz w:val="24"/>
        </w:rPr>
        <w:t>STEWART FRASER COMPANY</w:t>
      </w:r>
      <w:r>
        <w:rPr>
          <w:b/>
          <w:spacing w:val="-17"/>
          <w:sz w:val="24"/>
        </w:rPr>
        <w:t> </w:t>
      </w:r>
      <w:r>
        <w:rPr>
          <w:b/>
          <w:sz w:val="24"/>
        </w:rPr>
        <w:t>SECRETARY</w:t>
      </w:r>
    </w:p>
    <w:p>
      <w:pPr>
        <w:pStyle w:val="BodyText"/>
        <w:rPr>
          <w:b/>
        </w:rPr>
      </w:pPr>
    </w:p>
    <w:p>
      <w:pPr>
        <w:spacing w:before="0"/>
        <w:ind w:left="4" w:right="0" w:firstLine="0"/>
        <w:jc w:val="center"/>
        <w:rPr>
          <w:b/>
          <w:sz w:val="24"/>
        </w:rPr>
      </w:pPr>
      <w:r>
        <w:rPr>
          <w:b/>
          <w:spacing w:val="-2"/>
          <w:sz w:val="24"/>
        </w:rPr>
        <w:t>BUSINESS</w:t>
      </w:r>
    </w:p>
    <w:p>
      <w:pPr>
        <w:pStyle w:val="BodyText"/>
        <w:rPr>
          <w:b/>
        </w:rPr>
      </w:pPr>
    </w:p>
    <w:p>
      <w:pPr>
        <w:pStyle w:val="ListParagraph"/>
        <w:numPr>
          <w:ilvl w:val="0"/>
          <w:numId w:val="1"/>
        </w:numPr>
        <w:tabs>
          <w:tab w:pos="710" w:val="left" w:leader="none"/>
        </w:tabs>
        <w:spacing w:line="240" w:lineRule="auto" w:before="0" w:after="0"/>
        <w:ind w:left="710" w:right="0" w:hanging="567"/>
        <w:jc w:val="left"/>
        <w:rPr>
          <w:b/>
          <w:sz w:val="24"/>
        </w:rPr>
      </w:pPr>
      <w:r>
        <w:rPr>
          <w:b/>
          <w:sz w:val="24"/>
        </w:rPr>
        <w:t>Apologies</w:t>
      </w:r>
      <w:r>
        <w:rPr>
          <w:b/>
          <w:spacing w:val="-3"/>
          <w:sz w:val="24"/>
        </w:rPr>
        <w:t> </w:t>
      </w:r>
      <w:r>
        <w:rPr>
          <w:b/>
          <w:sz w:val="24"/>
        </w:rPr>
        <w:t>for</w:t>
      </w:r>
      <w:r>
        <w:rPr>
          <w:b/>
          <w:spacing w:val="-3"/>
          <w:sz w:val="24"/>
        </w:rPr>
        <w:t> </w:t>
      </w:r>
      <w:r>
        <w:rPr>
          <w:b/>
          <w:spacing w:val="-2"/>
          <w:sz w:val="24"/>
        </w:rPr>
        <w:t>Absence</w:t>
      </w:r>
    </w:p>
    <w:p>
      <w:pPr>
        <w:pStyle w:val="BodyText"/>
        <w:rPr>
          <w:b/>
        </w:rPr>
      </w:pPr>
    </w:p>
    <w:p>
      <w:pPr>
        <w:pStyle w:val="ListParagraph"/>
        <w:numPr>
          <w:ilvl w:val="0"/>
          <w:numId w:val="1"/>
        </w:numPr>
        <w:tabs>
          <w:tab w:pos="710" w:val="left" w:leader="none"/>
        </w:tabs>
        <w:spacing w:line="240" w:lineRule="auto" w:before="0" w:after="0"/>
        <w:ind w:left="710" w:right="0" w:hanging="567"/>
        <w:jc w:val="left"/>
        <w:rPr>
          <w:b/>
          <w:sz w:val="24"/>
        </w:rPr>
      </w:pPr>
      <w:r>
        <w:rPr>
          <w:b/>
          <w:sz w:val="24"/>
        </w:rPr>
        <w:t>Declarations</w:t>
      </w:r>
      <w:r>
        <w:rPr>
          <w:b/>
          <w:spacing w:val="-3"/>
          <w:sz w:val="24"/>
        </w:rPr>
        <w:t> </w:t>
      </w:r>
      <w:r>
        <w:rPr>
          <w:b/>
          <w:sz w:val="24"/>
        </w:rPr>
        <w:t>of</w:t>
      </w:r>
      <w:r>
        <w:rPr>
          <w:b/>
          <w:spacing w:val="-3"/>
          <w:sz w:val="24"/>
        </w:rPr>
        <w:t> </w:t>
      </w:r>
      <w:r>
        <w:rPr>
          <w:b/>
          <w:spacing w:val="-2"/>
          <w:sz w:val="24"/>
        </w:rPr>
        <w:t>Interest</w:t>
      </w:r>
    </w:p>
    <w:p>
      <w:pPr>
        <w:pStyle w:val="BodyText"/>
        <w:rPr>
          <w:b/>
        </w:rPr>
      </w:pPr>
    </w:p>
    <w:p>
      <w:pPr>
        <w:pStyle w:val="BodyText"/>
        <w:ind w:left="710" w:right="134"/>
        <w:jc w:val="both"/>
      </w:pPr>
      <w:r>
        <w:rPr/>
        <w:t>Directors are asked to consider whether they have an interest to declare in relation to any item on the agenda for this meeting.</w:t>
      </w:r>
      <w:r>
        <w:rPr>
          <w:spacing w:val="80"/>
        </w:rPr>
        <w:t> </w:t>
      </w:r>
      <w:r>
        <w:rPr/>
        <w:t>Any Director making a declaration of interest should provide some information on the nature of the interest. Advice may be sought from Officers prior to the meeting taking place.</w:t>
      </w:r>
    </w:p>
    <w:p>
      <w:pPr>
        <w:pStyle w:val="BodyText"/>
      </w:pPr>
    </w:p>
    <w:p>
      <w:pPr>
        <w:pStyle w:val="Heading1"/>
        <w:numPr>
          <w:ilvl w:val="0"/>
          <w:numId w:val="1"/>
        </w:numPr>
        <w:tabs>
          <w:tab w:pos="710" w:val="left" w:leader="none"/>
          <w:tab w:pos="9251" w:val="left" w:leader="none"/>
        </w:tabs>
        <w:spacing w:line="240" w:lineRule="auto" w:before="0" w:after="0"/>
        <w:ind w:left="710" w:right="0" w:hanging="567"/>
        <w:jc w:val="left"/>
      </w:pPr>
      <w:r>
        <w:rPr/>
        <w:t>High</w:t>
      </w:r>
      <w:r>
        <w:rPr>
          <w:spacing w:val="-4"/>
        </w:rPr>
        <w:t> </w:t>
      </w:r>
      <w:r>
        <w:rPr/>
        <w:t>Life</w:t>
      </w:r>
      <w:r>
        <w:rPr>
          <w:spacing w:val="-2"/>
        </w:rPr>
        <w:t> </w:t>
      </w:r>
      <w:r>
        <w:rPr/>
        <w:t>Highland</w:t>
      </w:r>
      <w:r>
        <w:rPr>
          <w:spacing w:val="-3"/>
        </w:rPr>
        <w:t> </w:t>
      </w:r>
      <w:r>
        <w:rPr/>
        <w:t>2025-30</w:t>
      </w:r>
      <w:r>
        <w:rPr>
          <w:spacing w:val="-4"/>
        </w:rPr>
        <w:t> </w:t>
      </w:r>
      <w:r>
        <w:rPr>
          <w:spacing w:val="-2"/>
        </w:rPr>
        <w:t>Strategy</w:t>
      </w:r>
      <w:r>
        <w:rPr/>
        <w:tab/>
      </w:r>
      <w:r>
        <w:rPr>
          <w:spacing w:val="-5"/>
        </w:rPr>
        <w:t>P.1</w:t>
      </w:r>
    </w:p>
    <w:p>
      <w:pPr>
        <w:pStyle w:val="BodyText"/>
        <w:rPr>
          <w:b/>
        </w:rPr>
      </w:pPr>
    </w:p>
    <w:p>
      <w:pPr>
        <w:pStyle w:val="BodyText"/>
        <w:ind w:left="710"/>
        <w:jc w:val="both"/>
      </w:pPr>
      <w:r>
        <w:rPr/>
        <w:t>There</w:t>
      </w:r>
      <w:r>
        <w:rPr>
          <w:spacing w:val="-5"/>
        </w:rPr>
        <w:t> </w:t>
      </w:r>
      <w:r>
        <w:rPr/>
        <w:t>is</w:t>
      </w:r>
      <w:r>
        <w:rPr>
          <w:spacing w:val="-3"/>
        </w:rPr>
        <w:t> </w:t>
      </w:r>
      <w:r>
        <w:rPr/>
        <w:t>circulated</w:t>
      </w:r>
      <w:r>
        <w:rPr>
          <w:spacing w:val="-2"/>
        </w:rPr>
        <w:t> </w:t>
      </w:r>
      <w:r>
        <w:rPr/>
        <w:t>High</w:t>
      </w:r>
      <w:r>
        <w:rPr>
          <w:spacing w:val="-3"/>
        </w:rPr>
        <w:t> </w:t>
      </w:r>
      <w:r>
        <w:rPr/>
        <w:t>Life</w:t>
      </w:r>
      <w:r>
        <w:rPr>
          <w:spacing w:val="-4"/>
        </w:rPr>
        <w:t> </w:t>
      </w:r>
      <w:r>
        <w:rPr/>
        <w:t>Highland</w:t>
      </w:r>
      <w:r>
        <w:rPr>
          <w:spacing w:val="-2"/>
        </w:rPr>
        <w:t> </w:t>
      </w:r>
      <w:r>
        <w:rPr/>
        <w:t>Strategy</w:t>
      </w:r>
      <w:r>
        <w:rPr>
          <w:spacing w:val="-3"/>
        </w:rPr>
        <w:t> </w:t>
      </w:r>
      <w:r>
        <w:rPr/>
        <w:t>for</w:t>
      </w:r>
      <w:r>
        <w:rPr>
          <w:spacing w:val="-4"/>
        </w:rPr>
        <w:t> </w:t>
      </w:r>
      <w:r>
        <w:rPr/>
        <w:t>2025-</w:t>
      </w:r>
      <w:r>
        <w:rPr>
          <w:spacing w:val="-5"/>
        </w:rPr>
        <w:t>30.</w:t>
      </w:r>
    </w:p>
    <w:p>
      <w:pPr>
        <w:pStyle w:val="BodyText"/>
      </w:pPr>
    </w:p>
    <w:p>
      <w:pPr>
        <w:pStyle w:val="Heading1"/>
        <w:numPr>
          <w:ilvl w:val="0"/>
          <w:numId w:val="1"/>
        </w:numPr>
        <w:tabs>
          <w:tab w:pos="710" w:val="left" w:leader="none"/>
          <w:tab w:pos="8666" w:val="left" w:leader="none"/>
        </w:tabs>
        <w:spacing w:line="240" w:lineRule="auto" w:before="0" w:after="0"/>
        <w:ind w:left="710" w:right="0" w:hanging="567"/>
        <w:jc w:val="left"/>
      </w:pPr>
      <w:r>
        <w:rPr/>
        <w:t>Confirmation</w:t>
      </w:r>
      <w:r>
        <w:rPr>
          <w:spacing w:val="-4"/>
        </w:rPr>
        <w:t> </w:t>
      </w:r>
      <w:r>
        <w:rPr/>
        <w:t>of</w:t>
      </w:r>
      <w:r>
        <w:rPr>
          <w:spacing w:val="-4"/>
        </w:rPr>
        <w:t> </w:t>
      </w:r>
      <w:r>
        <w:rPr>
          <w:spacing w:val="-2"/>
        </w:rPr>
        <w:t>Minutes</w:t>
      </w:r>
      <w:r>
        <w:rPr/>
        <w:tab/>
        <w:t>PP.</w:t>
      </w:r>
      <w:r>
        <w:rPr>
          <w:spacing w:val="-4"/>
        </w:rPr>
        <w:t> </w:t>
      </w:r>
      <w:r>
        <w:rPr/>
        <w:t>2-</w:t>
      </w:r>
      <w:r>
        <w:rPr>
          <w:spacing w:val="-5"/>
        </w:rPr>
        <w:t>22</w:t>
      </w:r>
    </w:p>
    <w:p>
      <w:pPr>
        <w:pStyle w:val="BodyText"/>
        <w:rPr>
          <w:b/>
        </w:rPr>
      </w:pPr>
    </w:p>
    <w:p>
      <w:pPr>
        <w:pStyle w:val="BodyText"/>
        <w:ind w:left="710"/>
        <w:jc w:val="both"/>
      </w:pPr>
      <w:r>
        <w:rPr/>
        <w:t>The</w:t>
      </w:r>
      <w:r>
        <w:rPr>
          <w:spacing w:val="-2"/>
        </w:rPr>
        <w:t> </w:t>
      </w:r>
      <w:r>
        <w:rPr/>
        <w:t>following</w:t>
      </w:r>
      <w:r>
        <w:rPr>
          <w:spacing w:val="-1"/>
        </w:rPr>
        <w:t> </w:t>
      </w:r>
      <w:r>
        <w:rPr/>
        <w:t>Minutes</w:t>
      </w:r>
      <w:r>
        <w:rPr>
          <w:spacing w:val="-5"/>
        </w:rPr>
        <w:t> </w:t>
      </w:r>
      <w:r>
        <w:rPr/>
        <w:t>are</w:t>
      </w:r>
      <w:r>
        <w:rPr>
          <w:spacing w:val="-1"/>
        </w:rPr>
        <w:t> </w:t>
      </w:r>
      <w:r>
        <w:rPr/>
        <w:t>circulated</w:t>
      </w:r>
      <w:r>
        <w:rPr>
          <w:spacing w:val="-1"/>
        </w:rPr>
        <w:t> </w:t>
      </w:r>
      <w:r>
        <w:rPr/>
        <w:t>for</w:t>
      </w:r>
      <w:r>
        <w:rPr>
          <w:spacing w:val="-5"/>
        </w:rPr>
        <w:t> </w:t>
      </w:r>
      <w:r>
        <w:rPr>
          <w:spacing w:val="-2"/>
        </w:rPr>
        <w:t>approval:-</w:t>
      </w:r>
    </w:p>
    <w:p>
      <w:pPr>
        <w:pStyle w:val="BodyText"/>
      </w:pPr>
    </w:p>
    <w:p>
      <w:pPr>
        <w:pStyle w:val="ListParagraph"/>
        <w:numPr>
          <w:ilvl w:val="1"/>
          <w:numId w:val="1"/>
        </w:numPr>
        <w:tabs>
          <w:tab w:pos="1276" w:val="left" w:leader="none"/>
        </w:tabs>
        <w:spacing w:line="240" w:lineRule="auto" w:before="0" w:after="0"/>
        <w:ind w:left="1276" w:right="0" w:hanging="566"/>
        <w:jc w:val="left"/>
        <w:rPr>
          <w:sz w:val="24"/>
        </w:rPr>
      </w:pPr>
      <w:r>
        <w:rPr>
          <w:sz w:val="24"/>
        </w:rPr>
        <w:t>Board</w:t>
      </w:r>
      <w:r>
        <w:rPr>
          <w:spacing w:val="-3"/>
          <w:sz w:val="24"/>
        </w:rPr>
        <w:t> </w:t>
      </w:r>
      <w:r>
        <w:rPr>
          <w:sz w:val="24"/>
        </w:rPr>
        <w:t>Meeting</w:t>
      </w:r>
      <w:r>
        <w:rPr>
          <w:spacing w:val="-2"/>
          <w:sz w:val="24"/>
        </w:rPr>
        <w:t> </w:t>
      </w:r>
      <w:r>
        <w:rPr>
          <w:sz w:val="24"/>
        </w:rPr>
        <w:t>held</w:t>
      </w:r>
      <w:r>
        <w:rPr>
          <w:spacing w:val="-2"/>
          <w:sz w:val="24"/>
        </w:rPr>
        <w:t> </w:t>
      </w:r>
      <w:r>
        <w:rPr>
          <w:sz w:val="24"/>
        </w:rPr>
        <w:t>on</w:t>
      </w:r>
      <w:r>
        <w:rPr>
          <w:spacing w:val="-4"/>
          <w:sz w:val="24"/>
        </w:rPr>
        <w:t> </w:t>
      </w:r>
      <w:r>
        <w:rPr>
          <w:sz w:val="24"/>
        </w:rPr>
        <w:t>19</w:t>
      </w:r>
      <w:r>
        <w:rPr>
          <w:spacing w:val="-2"/>
          <w:sz w:val="24"/>
        </w:rPr>
        <w:t> </w:t>
      </w:r>
      <w:r>
        <w:rPr>
          <w:sz w:val="24"/>
        </w:rPr>
        <w:t>March</w:t>
      </w:r>
      <w:r>
        <w:rPr>
          <w:spacing w:val="-4"/>
          <w:sz w:val="24"/>
        </w:rPr>
        <w:t> </w:t>
      </w:r>
      <w:r>
        <w:rPr>
          <w:sz w:val="24"/>
        </w:rPr>
        <w:t>2025</w:t>
      </w:r>
      <w:r>
        <w:rPr>
          <w:spacing w:val="-2"/>
          <w:sz w:val="24"/>
        </w:rPr>
        <w:t> </w:t>
      </w:r>
      <w:r>
        <w:rPr>
          <w:sz w:val="24"/>
        </w:rPr>
        <w:t>(pp.2-</w:t>
      </w:r>
      <w:r>
        <w:rPr>
          <w:spacing w:val="-5"/>
          <w:sz w:val="24"/>
        </w:rPr>
        <w:t>7);</w:t>
      </w:r>
    </w:p>
    <w:p>
      <w:pPr>
        <w:pStyle w:val="ListParagraph"/>
        <w:numPr>
          <w:ilvl w:val="1"/>
          <w:numId w:val="1"/>
        </w:numPr>
        <w:tabs>
          <w:tab w:pos="1276" w:val="left" w:leader="none"/>
        </w:tabs>
        <w:spacing w:line="240" w:lineRule="auto" w:before="0" w:after="0"/>
        <w:ind w:left="1276" w:right="0" w:hanging="566"/>
        <w:jc w:val="left"/>
        <w:rPr>
          <w:sz w:val="24"/>
        </w:rPr>
      </w:pPr>
      <w:r>
        <w:rPr>
          <w:sz w:val="24"/>
        </w:rPr>
        <w:t>Finance</w:t>
      </w:r>
      <w:r>
        <w:rPr>
          <w:spacing w:val="-6"/>
          <w:sz w:val="24"/>
        </w:rPr>
        <w:t> </w:t>
      </w:r>
      <w:r>
        <w:rPr>
          <w:sz w:val="24"/>
        </w:rPr>
        <w:t>and</w:t>
      </w:r>
      <w:r>
        <w:rPr>
          <w:spacing w:val="-1"/>
          <w:sz w:val="24"/>
        </w:rPr>
        <w:t> </w:t>
      </w:r>
      <w:r>
        <w:rPr>
          <w:sz w:val="24"/>
        </w:rPr>
        <w:t>Audit</w:t>
      </w:r>
      <w:r>
        <w:rPr>
          <w:spacing w:val="-2"/>
          <w:sz w:val="24"/>
        </w:rPr>
        <w:t> </w:t>
      </w:r>
      <w:r>
        <w:rPr>
          <w:sz w:val="24"/>
        </w:rPr>
        <w:t>Committee</w:t>
      </w:r>
      <w:r>
        <w:rPr>
          <w:spacing w:val="-3"/>
          <w:sz w:val="24"/>
        </w:rPr>
        <w:t> </w:t>
      </w:r>
      <w:r>
        <w:rPr>
          <w:sz w:val="24"/>
        </w:rPr>
        <w:t>held</w:t>
      </w:r>
      <w:r>
        <w:rPr>
          <w:spacing w:val="-3"/>
          <w:sz w:val="24"/>
        </w:rPr>
        <w:t> </w:t>
      </w:r>
      <w:r>
        <w:rPr>
          <w:sz w:val="24"/>
        </w:rPr>
        <w:t>on</w:t>
      </w:r>
      <w:r>
        <w:rPr>
          <w:spacing w:val="-3"/>
          <w:sz w:val="24"/>
        </w:rPr>
        <w:t> </w:t>
      </w:r>
      <w:r>
        <w:rPr>
          <w:sz w:val="24"/>
        </w:rPr>
        <w:t>12</w:t>
      </w:r>
      <w:r>
        <w:rPr>
          <w:spacing w:val="-4"/>
          <w:sz w:val="24"/>
        </w:rPr>
        <w:t> </w:t>
      </w:r>
      <w:r>
        <w:rPr>
          <w:sz w:val="24"/>
        </w:rPr>
        <w:t>May</w:t>
      </w:r>
      <w:r>
        <w:rPr>
          <w:spacing w:val="-2"/>
          <w:sz w:val="24"/>
        </w:rPr>
        <w:t> </w:t>
      </w:r>
      <w:r>
        <w:rPr>
          <w:sz w:val="24"/>
        </w:rPr>
        <w:t>2025</w:t>
      </w:r>
      <w:r>
        <w:rPr>
          <w:spacing w:val="-1"/>
          <w:sz w:val="24"/>
        </w:rPr>
        <w:t> </w:t>
      </w:r>
      <w:r>
        <w:rPr>
          <w:sz w:val="24"/>
        </w:rPr>
        <w:t>(pp.8-</w:t>
      </w:r>
      <w:r>
        <w:rPr>
          <w:spacing w:val="-4"/>
          <w:sz w:val="24"/>
        </w:rPr>
        <w:t>11);</w:t>
      </w:r>
    </w:p>
    <w:p>
      <w:pPr>
        <w:pStyle w:val="ListParagraph"/>
        <w:numPr>
          <w:ilvl w:val="1"/>
          <w:numId w:val="1"/>
        </w:numPr>
        <w:tabs>
          <w:tab w:pos="1276" w:val="left" w:leader="none"/>
        </w:tabs>
        <w:spacing w:line="240" w:lineRule="auto" w:before="0" w:after="0"/>
        <w:ind w:left="1276" w:right="135" w:hanging="567"/>
        <w:jc w:val="left"/>
        <w:rPr>
          <w:sz w:val="24"/>
        </w:rPr>
      </w:pPr>
      <w:r>
        <w:rPr>
          <w:sz w:val="24"/>
        </w:rPr>
        <w:t>Health and Safety and Environmental Compliance Committee held on 12 May 2025 (pp.12-16);</w:t>
      </w:r>
    </w:p>
    <w:p>
      <w:pPr>
        <w:pStyle w:val="ListParagraph"/>
        <w:spacing w:after="0" w:line="240" w:lineRule="auto"/>
        <w:jc w:val="left"/>
        <w:rPr>
          <w:sz w:val="24"/>
        </w:rPr>
        <w:sectPr>
          <w:type w:val="continuous"/>
          <w:pgSz w:w="11910" w:h="16840"/>
          <w:pgMar w:top="1620" w:bottom="280" w:left="1133" w:right="992"/>
        </w:sectPr>
      </w:pPr>
    </w:p>
    <w:p>
      <w:pPr>
        <w:pStyle w:val="BodyText"/>
        <w:spacing w:before="82"/>
        <w:ind w:left="710"/>
        <w:jc w:val="both"/>
      </w:pPr>
      <w:r>
        <w:rPr/>
        <w:t>and</w:t>
      </w:r>
      <w:r>
        <w:rPr>
          <w:spacing w:val="-1"/>
        </w:rPr>
        <w:t> </w:t>
      </w:r>
      <w:r>
        <w:rPr/>
        <w:t>for</w:t>
      </w:r>
      <w:r>
        <w:rPr>
          <w:spacing w:val="-1"/>
        </w:rPr>
        <w:t> </w:t>
      </w:r>
      <w:r>
        <w:rPr>
          <w:spacing w:val="-2"/>
        </w:rPr>
        <w:t>noting:-</w:t>
      </w:r>
    </w:p>
    <w:p>
      <w:pPr>
        <w:pStyle w:val="BodyText"/>
      </w:pPr>
    </w:p>
    <w:p>
      <w:pPr>
        <w:pStyle w:val="ListParagraph"/>
        <w:numPr>
          <w:ilvl w:val="1"/>
          <w:numId w:val="1"/>
        </w:numPr>
        <w:tabs>
          <w:tab w:pos="1276" w:val="left" w:leader="none"/>
        </w:tabs>
        <w:spacing w:line="240" w:lineRule="auto" w:before="0" w:after="0"/>
        <w:ind w:left="1276" w:right="0" w:hanging="566"/>
        <w:jc w:val="left"/>
        <w:rPr>
          <w:sz w:val="24"/>
        </w:rPr>
      </w:pPr>
      <w:r>
        <w:rPr>
          <w:sz w:val="24"/>
        </w:rPr>
        <w:t>High</w:t>
      </w:r>
      <w:r>
        <w:rPr>
          <w:spacing w:val="-4"/>
          <w:sz w:val="24"/>
        </w:rPr>
        <w:t> </w:t>
      </w:r>
      <w:r>
        <w:rPr>
          <w:sz w:val="24"/>
        </w:rPr>
        <w:t>Life</w:t>
      </w:r>
      <w:r>
        <w:rPr>
          <w:spacing w:val="-4"/>
          <w:sz w:val="24"/>
        </w:rPr>
        <w:t> </w:t>
      </w:r>
      <w:r>
        <w:rPr>
          <w:sz w:val="24"/>
        </w:rPr>
        <w:t>Highland</w:t>
      </w:r>
      <w:r>
        <w:rPr>
          <w:spacing w:val="-2"/>
          <w:sz w:val="24"/>
        </w:rPr>
        <w:t> </w:t>
      </w:r>
      <w:r>
        <w:rPr>
          <w:sz w:val="24"/>
        </w:rPr>
        <w:t>(Trading)</w:t>
      </w:r>
      <w:r>
        <w:rPr>
          <w:spacing w:val="-6"/>
          <w:sz w:val="24"/>
        </w:rPr>
        <w:t> </w:t>
      </w:r>
      <w:r>
        <w:rPr>
          <w:sz w:val="24"/>
        </w:rPr>
        <w:t>held</w:t>
      </w:r>
      <w:r>
        <w:rPr>
          <w:spacing w:val="-4"/>
          <w:sz w:val="24"/>
        </w:rPr>
        <w:t> </w:t>
      </w:r>
      <w:r>
        <w:rPr>
          <w:sz w:val="24"/>
        </w:rPr>
        <w:t>on</w:t>
      </w:r>
      <w:r>
        <w:rPr>
          <w:spacing w:val="-4"/>
          <w:sz w:val="24"/>
        </w:rPr>
        <w:t> </w:t>
      </w:r>
      <w:r>
        <w:rPr>
          <w:sz w:val="24"/>
        </w:rPr>
        <w:t>19</w:t>
      </w:r>
      <w:r>
        <w:rPr>
          <w:spacing w:val="-2"/>
          <w:sz w:val="24"/>
        </w:rPr>
        <w:t> </w:t>
      </w:r>
      <w:r>
        <w:rPr>
          <w:sz w:val="24"/>
        </w:rPr>
        <w:t>March</w:t>
      </w:r>
      <w:r>
        <w:rPr>
          <w:spacing w:val="-2"/>
          <w:sz w:val="24"/>
        </w:rPr>
        <w:t> </w:t>
      </w:r>
      <w:r>
        <w:rPr>
          <w:sz w:val="24"/>
        </w:rPr>
        <w:t>2025</w:t>
      </w:r>
      <w:r>
        <w:rPr>
          <w:spacing w:val="-1"/>
          <w:sz w:val="24"/>
        </w:rPr>
        <w:t> </w:t>
      </w:r>
      <w:r>
        <w:rPr>
          <w:sz w:val="24"/>
        </w:rPr>
        <w:t>(pp.17-</w:t>
      </w:r>
      <w:r>
        <w:rPr>
          <w:spacing w:val="-4"/>
          <w:sz w:val="24"/>
        </w:rPr>
        <w:t>22).</w:t>
      </w:r>
    </w:p>
    <w:p>
      <w:pPr>
        <w:pStyle w:val="BodyText"/>
      </w:pPr>
    </w:p>
    <w:p>
      <w:pPr>
        <w:pStyle w:val="Heading1"/>
        <w:numPr>
          <w:ilvl w:val="0"/>
          <w:numId w:val="1"/>
        </w:numPr>
        <w:tabs>
          <w:tab w:pos="710" w:val="left" w:leader="none"/>
          <w:tab w:pos="8783" w:val="left" w:leader="none"/>
        </w:tabs>
        <w:spacing w:line="240" w:lineRule="auto" w:before="0" w:after="0"/>
        <w:ind w:left="710" w:right="0" w:hanging="567"/>
        <w:jc w:val="left"/>
      </w:pPr>
      <w:r>
        <w:rPr/>
        <w:t>Matters</w:t>
      </w:r>
      <w:r>
        <w:rPr>
          <w:spacing w:val="-2"/>
        </w:rPr>
        <w:t> </w:t>
      </w:r>
      <w:r>
        <w:rPr/>
        <w:t>Arising</w:t>
      </w:r>
      <w:r>
        <w:rPr>
          <w:spacing w:val="-4"/>
        </w:rPr>
        <w:t> </w:t>
      </w:r>
      <w:r>
        <w:rPr/>
        <w:t>–</w:t>
      </w:r>
      <w:r>
        <w:rPr>
          <w:spacing w:val="-1"/>
        </w:rPr>
        <w:t> </w:t>
      </w:r>
      <w:r>
        <w:rPr/>
        <w:t>Board</w:t>
      </w:r>
      <w:r>
        <w:rPr>
          <w:spacing w:val="-2"/>
        </w:rPr>
        <w:t> </w:t>
      </w:r>
      <w:r>
        <w:rPr/>
        <w:t>Meeting</w:t>
      </w:r>
      <w:r>
        <w:rPr>
          <w:spacing w:val="-2"/>
        </w:rPr>
        <w:t> </w:t>
      </w:r>
      <w:r>
        <w:rPr/>
        <w:t>of</w:t>
      </w:r>
      <w:r>
        <w:rPr>
          <w:spacing w:val="-3"/>
        </w:rPr>
        <w:t> </w:t>
      </w:r>
      <w:r>
        <w:rPr/>
        <w:t>19</w:t>
      </w:r>
      <w:r>
        <w:rPr>
          <w:spacing w:val="-1"/>
        </w:rPr>
        <w:t> </w:t>
      </w:r>
      <w:r>
        <w:rPr/>
        <w:t>March</w:t>
      </w:r>
      <w:r>
        <w:rPr>
          <w:spacing w:val="-2"/>
        </w:rPr>
        <w:t> </w:t>
      </w:r>
      <w:r>
        <w:rPr>
          <w:spacing w:val="-4"/>
        </w:rPr>
        <w:t>2025</w:t>
      </w:r>
      <w:r>
        <w:rPr/>
        <w:tab/>
      </w:r>
      <w:r>
        <w:rPr>
          <w:spacing w:val="-4"/>
        </w:rPr>
        <w:t>P.23</w:t>
      </w:r>
    </w:p>
    <w:p>
      <w:pPr>
        <w:pStyle w:val="BodyText"/>
        <w:rPr>
          <w:b/>
        </w:rPr>
      </w:pPr>
    </w:p>
    <w:p>
      <w:pPr>
        <w:pStyle w:val="BodyText"/>
        <w:ind w:left="710" w:right="136"/>
        <w:jc w:val="both"/>
      </w:pPr>
      <w:r>
        <w:rPr/>
        <w:t>There is circulated, for information, matters arising from the meeting of the Board held on 19 March 2025.</w:t>
      </w:r>
    </w:p>
    <w:p>
      <w:pPr>
        <w:pStyle w:val="BodyText"/>
      </w:pPr>
    </w:p>
    <w:p>
      <w:pPr>
        <w:pStyle w:val="BodyText"/>
        <w:ind w:left="710"/>
        <w:jc w:val="both"/>
      </w:pPr>
      <w:r>
        <w:rPr/>
        <w:t>The</w:t>
      </w:r>
      <w:r>
        <w:rPr>
          <w:spacing w:val="-1"/>
        </w:rPr>
        <w:t> </w:t>
      </w:r>
      <w:r>
        <w:rPr/>
        <w:t>Board is</w:t>
      </w:r>
      <w:r>
        <w:rPr>
          <w:spacing w:val="-1"/>
        </w:rPr>
        <w:t> </w:t>
      </w:r>
      <w:r>
        <w:rPr/>
        <w:t>invited</w:t>
      </w:r>
      <w:r>
        <w:rPr>
          <w:spacing w:val="-3"/>
        </w:rPr>
        <w:t> </w:t>
      </w:r>
      <w:r>
        <w:rPr/>
        <w:t>to</w:t>
      </w:r>
      <w:r>
        <w:rPr>
          <w:spacing w:val="-2"/>
        </w:rPr>
        <w:t> </w:t>
      </w:r>
      <w:r>
        <w:rPr/>
        <w:t>note</w:t>
      </w:r>
      <w:r>
        <w:rPr>
          <w:spacing w:val="-2"/>
        </w:rPr>
        <w:t> </w:t>
      </w:r>
      <w:r>
        <w:rPr/>
        <w:t>the </w:t>
      </w:r>
      <w:r>
        <w:rPr>
          <w:spacing w:val="-2"/>
        </w:rPr>
        <w:t>position.</w:t>
      </w:r>
    </w:p>
    <w:p>
      <w:pPr>
        <w:pStyle w:val="BodyText"/>
      </w:pPr>
    </w:p>
    <w:p>
      <w:pPr>
        <w:pStyle w:val="Heading1"/>
        <w:numPr>
          <w:ilvl w:val="0"/>
          <w:numId w:val="1"/>
        </w:numPr>
        <w:tabs>
          <w:tab w:pos="710" w:val="left" w:leader="none"/>
        </w:tabs>
        <w:spacing w:line="240" w:lineRule="auto" w:before="0" w:after="0"/>
        <w:ind w:left="710" w:right="0" w:hanging="567"/>
        <w:jc w:val="left"/>
      </w:pPr>
      <w:r>
        <w:rPr/>
        <w:t>Committees</w:t>
      </w:r>
      <w:r>
        <w:rPr>
          <w:spacing w:val="-2"/>
        </w:rPr>
        <w:t> </w:t>
      </w:r>
      <w:r>
        <w:rPr/>
        <w:t>–</w:t>
      </w:r>
      <w:r>
        <w:rPr>
          <w:spacing w:val="-2"/>
        </w:rPr>
        <w:t> Vacancies</w:t>
      </w:r>
    </w:p>
    <w:p>
      <w:pPr>
        <w:pStyle w:val="BodyText"/>
        <w:rPr>
          <w:b/>
        </w:rPr>
      </w:pPr>
    </w:p>
    <w:p>
      <w:pPr>
        <w:pStyle w:val="BodyText"/>
        <w:ind w:left="710" w:right="136"/>
        <w:jc w:val="both"/>
      </w:pPr>
      <w:r>
        <w:rPr/>
        <w:t>The Board is invited to appoint a Director to the Finance and Audit Committee and up to two to the Health and Safety and Environmental Compliance Committee.</w:t>
      </w:r>
    </w:p>
    <w:p>
      <w:pPr>
        <w:pStyle w:val="BodyText"/>
      </w:pPr>
    </w:p>
    <w:p>
      <w:pPr>
        <w:pStyle w:val="Heading1"/>
        <w:ind w:left="143" w:firstLine="0"/>
      </w:pPr>
      <w:r>
        <w:rPr/>
        <w:t>The Board is asked to resolve that the following item be restricted to Directors and representatives from HLH and the Company Secretary’s office.</w:t>
      </w:r>
    </w:p>
    <w:p>
      <w:pPr>
        <w:pStyle w:val="ListParagraph"/>
        <w:numPr>
          <w:ilvl w:val="0"/>
          <w:numId w:val="1"/>
        </w:numPr>
        <w:tabs>
          <w:tab w:pos="710" w:val="left" w:leader="none"/>
          <w:tab w:pos="8598" w:val="left" w:leader="none"/>
        </w:tabs>
        <w:spacing w:line="240" w:lineRule="auto" w:before="245" w:after="0"/>
        <w:ind w:left="710" w:right="0" w:hanging="567"/>
        <w:jc w:val="left"/>
        <w:rPr>
          <w:b/>
          <w:sz w:val="24"/>
        </w:rPr>
      </w:pPr>
      <w:r>
        <w:rPr>
          <w:b/>
          <w:sz w:val="24"/>
        </w:rPr>
        <w:t>Operations</w:t>
      </w:r>
      <w:r>
        <w:rPr>
          <w:b/>
          <w:spacing w:val="-5"/>
          <w:sz w:val="24"/>
        </w:rPr>
        <w:t> </w:t>
      </w:r>
      <w:r>
        <w:rPr>
          <w:b/>
          <w:sz w:val="24"/>
        </w:rPr>
        <w:t>and</w:t>
      </w:r>
      <w:r>
        <w:rPr>
          <w:b/>
          <w:spacing w:val="-4"/>
          <w:sz w:val="24"/>
        </w:rPr>
        <w:t> </w:t>
      </w:r>
      <w:r>
        <w:rPr>
          <w:b/>
          <w:sz w:val="24"/>
        </w:rPr>
        <w:t>Governance</w:t>
      </w:r>
      <w:r>
        <w:rPr>
          <w:b/>
          <w:spacing w:val="-3"/>
          <w:sz w:val="24"/>
        </w:rPr>
        <w:t> </w:t>
      </w:r>
      <w:r>
        <w:rPr>
          <w:b/>
          <w:spacing w:val="-2"/>
          <w:sz w:val="24"/>
        </w:rPr>
        <w:t>Arrangements</w:t>
      </w:r>
      <w:r>
        <w:rPr>
          <w:b/>
          <w:sz w:val="24"/>
        </w:rPr>
        <w:tab/>
      </w:r>
      <w:r>
        <w:rPr>
          <w:b/>
          <w:spacing w:val="-2"/>
          <w:sz w:val="24"/>
        </w:rPr>
        <w:t>PP.24-</w:t>
      </w:r>
      <w:r>
        <w:rPr>
          <w:b/>
          <w:spacing w:val="-5"/>
          <w:sz w:val="24"/>
        </w:rPr>
        <w:t>31</w:t>
      </w:r>
    </w:p>
    <w:p>
      <w:pPr>
        <w:pStyle w:val="BodyText"/>
        <w:rPr>
          <w:b/>
        </w:rPr>
      </w:pPr>
    </w:p>
    <w:p>
      <w:pPr>
        <w:pStyle w:val="BodyText"/>
        <w:spacing w:line="480" w:lineRule="auto"/>
        <w:ind w:left="710" w:right="2397"/>
        <w:jc w:val="both"/>
      </w:pPr>
      <w:r>
        <w:rPr>
          <w:spacing w:val="-2"/>
        </w:rPr>
        <w:t>There</w:t>
      </w:r>
      <w:r>
        <w:rPr>
          <w:spacing w:val="-11"/>
        </w:rPr>
        <w:t> </w:t>
      </w:r>
      <w:r>
        <w:rPr>
          <w:spacing w:val="-2"/>
        </w:rPr>
        <w:t>is</w:t>
      </w:r>
      <w:r>
        <w:rPr>
          <w:spacing w:val="-12"/>
        </w:rPr>
        <w:t> </w:t>
      </w:r>
      <w:r>
        <w:rPr>
          <w:spacing w:val="-2"/>
        </w:rPr>
        <w:t>circulated</w:t>
      </w:r>
      <w:r>
        <w:rPr>
          <w:spacing w:val="-11"/>
        </w:rPr>
        <w:t> </w:t>
      </w:r>
      <w:r>
        <w:rPr>
          <w:spacing w:val="-2"/>
        </w:rPr>
        <w:t>Report</w:t>
      </w:r>
      <w:r>
        <w:rPr>
          <w:spacing w:val="-14"/>
        </w:rPr>
        <w:t> </w:t>
      </w:r>
      <w:r>
        <w:rPr>
          <w:spacing w:val="-2"/>
        </w:rPr>
        <w:t>No.</w:t>
      </w:r>
      <w:r>
        <w:rPr>
          <w:spacing w:val="-11"/>
        </w:rPr>
        <w:t> </w:t>
      </w:r>
      <w:r>
        <w:rPr>
          <w:spacing w:val="-2"/>
        </w:rPr>
        <w:t>HLH//7/25</w:t>
      </w:r>
      <w:r>
        <w:rPr>
          <w:spacing w:val="-13"/>
        </w:rPr>
        <w:t> </w:t>
      </w:r>
      <w:r>
        <w:rPr>
          <w:spacing w:val="-2"/>
        </w:rPr>
        <w:t>by</w:t>
      </w:r>
      <w:r>
        <w:rPr>
          <w:spacing w:val="-14"/>
        </w:rPr>
        <w:t> </w:t>
      </w:r>
      <w:r>
        <w:rPr>
          <w:spacing w:val="-2"/>
        </w:rPr>
        <w:t>the</w:t>
      </w:r>
      <w:r>
        <w:rPr>
          <w:spacing w:val="-11"/>
        </w:rPr>
        <w:t> </w:t>
      </w:r>
      <w:r>
        <w:rPr>
          <w:spacing w:val="-2"/>
        </w:rPr>
        <w:t>Chief</w:t>
      </w:r>
      <w:r>
        <w:rPr>
          <w:spacing w:val="-14"/>
        </w:rPr>
        <w:t> </w:t>
      </w:r>
      <w:r>
        <w:rPr>
          <w:spacing w:val="-2"/>
        </w:rPr>
        <w:t>Executive. </w:t>
      </w:r>
      <w:r>
        <w:rPr/>
        <w:t>The Board is invited to note the recommendations</w:t>
      </w:r>
    </w:p>
    <w:p>
      <w:pPr>
        <w:pStyle w:val="Heading1"/>
        <w:numPr>
          <w:ilvl w:val="0"/>
          <w:numId w:val="1"/>
        </w:numPr>
        <w:tabs>
          <w:tab w:pos="710" w:val="left" w:leader="none"/>
          <w:tab w:pos="8514" w:val="left" w:leader="none"/>
        </w:tabs>
        <w:spacing w:line="274" w:lineRule="exact" w:before="0" w:after="0"/>
        <w:ind w:left="710" w:right="0" w:hanging="567"/>
        <w:jc w:val="left"/>
      </w:pPr>
      <w:r>
        <w:rPr/>
        <w:t>Inverness</w:t>
      </w:r>
      <w:r>
        <w:rPr>
          <w:spacing w:val="-4"/>
        </w:rPr>
        <w:t> </w:t>
      </w:r>
      <w:r>
        <w:rPr/>
        <w:t>Castle</w:t>
      </w:r>
      <w:r>
        <w:rPr>
          <w:spacing w:val="-5"/>
        </w:rPr>
        <w:t> </w:t>
      </w:r>
      <w:r>
        <w:rPr/>
        <w:t>Experience</w:t>
      </w:r>
      <w:r>
        <w:rPr>
          <w:spacing w:val="-3"/>
        </w:rPr>
        <w:t> </w:t>
      </w:r>
      <w:r>
        <w:rPr/>
        <w:t>Progress</w:t>
      </w:r>
      <w:r>
        <w:rPr>
          <w:spacing w:val="-5"/>
        </w:rPr>
        <w:t> </w:t>
      </w:r>
      <w:r>
        <w:rPr>
          <w:spacing w:val="-2"/>
        </w:rPr>
        <w:t>Report</w:t>
      </w:r>
      <w:r>
        <w:rPr/>
        <w:tab/>
      </w:r>
      <w:r>
        <w:rPr>
          <w:spacing w:val="-2"/>
        </w:rPr>
        <w:t>PP.32-</w:t>
      </w:r>
      <w:r>
        <w:rPr>
          <w:spacing w:val="-5"/>
        </w:rPr>
        <w:t>38</w:t>
      </w:r>
    </w:p>
    <w:p>
      <w:pPr>
        <w:pStyle w:val="BodyText"/>
        <w:rPr>
          <w:b/>
        </w:rPr>
      </w:pPr>
    </w:p>
    <w:p>
      <w:pPr>
        <w:pStyle w:val="BodyText"/>
        <w:ind w:left="710" w:right="137"/>
        <w:jc w:val="both"/>
      </w:pPr>
      <w:r>
        <w:rPr/>
        <w:t>There is circulated Report No. HLH/8/25 by the Chief Executive providing a</w:t>
      </w:r>
      <w:r>
        <w:rPr>
          <w:spacing w:val="40"/>
        </w:rPr>
        <w:t> </w:t>
      </w:r>
      <w:r>
        <w:rPr/>
        <w:t>progress update on the Inverness Castle Experience.</w:t>
      </w:r>
    </w:p>
    <w:p>
      <w:pPr>
        <w:pStyle w:val="BodyText"/>
        <w:spacing w:before="43"/>
      </w:pPr>
    </w:p>
    <w:p>
      <w:pPr>
        <w:pStyle w:val="BodyText"/>
        <w:ind w:left="710"/>
        <w:jc w:val="both"/>
      </w:pPr>
      <w:r>
        <w:rPr/>
        <w:t>The</w:t>
      </w:r>
      <w:r>
        <w:rPr>
          <w:spacing w:val="-1"/>
        </w:rPr>
        <w:t> </w:t>
      </w:r>
      <w:r>
        <w:rPr/>
        <w:t>Board is</w:t>
      </w:r>
      <w:r>
        <w:rPr>
          <w:spacing w:val="-1"/>
        </w:rPr>
        <w:t> </w:t>
      </w:r>
      <w:r>
        <w:rPr/>
        <w:t>invited</w:t>
      </w:r>
      <w:r>
        <w:rPr>
          <w:spacing w:val="-3"/>
        </w:rPr>
        <w:t> </w:t>
      </w:r>
      <w:r>
        <w:rPr/>
        <w:t>to</w:t>
      </w:r>
      <w:r>
        <w:rPr>
          <w:spacing w:val="-3"/>
        </w:rPr>
        <w:t> </w:t>
      </w:r>
      <w:r>
        <w:rPr/>
        <w:t>note</w:t>
      </w:r>
      <w:r>
        <w:rPr>
          <w:spacing w:val="-2"/>
        </w:rPr>
        <w:t> </w:t>
      </w:r>
      <w:r>
        <w:rPr/>
        <w:t>the </w:t>
      </w:r>
      <w:r>
        <w:rPr>
          <w:spacing w:val="-2"/>
        </w:rPr>
        <w:t>update.</w:t>
      </w:r>
    </w:p>
    <w:p>
      <w:pPr>
        <w:pStyle w:val="BodyText"/>
      </w:pPr>
    </w:p>
    <w:p>
      <w:pPr>
        <w:pStyle w:val="Heading1"/>
        <w:numPr>
          <w:ilvl w:val="0"/>
          <w:numId w:val="1"/>
        </w:numPr>
        <w:tabs>
          <w:tab w:pos="710" w:val="left" w:leader="none"/>
          <w:tab w:pos="8598" w:val="left" w:leader="none"/>
        </w:tabs>
        <w:spacing w:line="240" w:lineRule="auto" w:before="0" w:after="0"/>
        <w:ind w:left="710" w:right="0" w:hanging="567"/>
        <w:jc w:val="left"/>
      </w:pPr>
      <w:r>
        <w:rPr/>
        <w:t>Finance</w:t>
      </w:r>
      <w:r>
        <w:rPr>
          <w:spacing w:val="-4"/>
        </w:rPr>
        <w:t> </w:t>
      </w:r>
      <w:r>
        <w:rPr>
          <w:spacing w:val="-2"/>
        </w:rPr>
        <w:t>Report</w:t>
      </w:r>
      <w:r>
        <w:rPr/>
        <w:tab/>
      </w:r>
      <w:r>
        <w:rPr>
          <w:spacing w:val="-2"/>
        </w:rPr>
        <w:t>PP.39-</w:t>
      </w:r>
      <w:r>
        <w:rPr>
          <w:spacing w:val="-5"/>
        </w:rPr>
        <w:t>82</w:t>
      </w:r>
    </w:p>
    <w:p>
      <w:pPr>
        <w:pStyle w:val="BodyText"/>
        <w:rPr>
          <w:b/>
        </w:rPr>
      </w:pPr>
    </w:p>
    <w:p>
      <w:pPr>
        <w:pStyle w:val="BodyText"/>
        <w:ind w:left="710" w:right="136"/>
        <w:jc w:val="both"/>
      </w:pPr>
      <w:r>
        <w:rPr/>
        <w:t>There is circulated Report No. HLH/9/25 by the Chief Executive updating Directors on the financial performance of High Life Highland for financial year 2024/25 and other relevant matters.</w:t>
      </w:r>
    </w:p>
    <w:p>
      <w:pPr>
        <w:pStyle w:val="BodyText"/>
      </w:pPr>
    </w:p>
    <w:p>
      <w:pPr>
        <w:pStyle w:val="BodyText"/>
        <w:spacing w:before="1"/>
        <w:ind w:left="710"/>
        <w:jc w:val="both"/>
      </w:pPr>
      <w:r>
        <w:rPr/>
        <w:t>The</w:t>
      </w:r>
      <w:r>
        <w:rPr>
          <w:spacing w:val="-2"/>
        </w:rPr>
        <w:t> </w:t>
      </w:r>
      <w:r>
        <w:rPr/>
        <w:t>Board</w:t>
      </w:r>
      <w:r>
        <w:rPr>
          <w:spacing w:val="-1"/>
        </w:rPr>
        <w:t> </w:t>
      </w:r>
      <w:r>
        <w:rPr/>
        <w:t>is</w:t>
      </w:r>
      <w:r>
        <w:rPr>
          <w:spacing w:val="-2"/>
        </w:rPr>
        <w:t> </w:t>
      </w:r>
      <w:r>
        <w:rPr/>
        <w:t>invited</w:t>
      </w:r>
      <w:r>
        <w:rPr>
          <w:spacing w:val="-3"/>
        </w:rPr>
        <w:t> </w:t>
      </w:r>
      <w:r>
        <w:rPr>
          <w:spacing w:val="-4"/>
        </w:rPr>
        <w:t>to:-</w:t>
      </w:r>
    </w:p>
    <w:p>
      <w:pPr>
        <w:pStyle w:val="ListParagraph"/>
        <w:numPr>
          <w:ilvl w:val="1"/>
          <w:numId w:val="1"/>
        </w:numPr>
        <w:tabs>
          <w:tab w:pos="1276" w:val="left" w:leader="none"/>
        </w:tabs>
        <w:spacing w:line="240" w:lineRule="auto" w:before="276" w:after="0"/>
        <w:ind w:left="1276" w:right="134" w:hanging="567"/>
        <w:jc w:val="left"/>
        <w:rPr>
          <w:sz w:val="24"/>
        </w:rPr>
      </w:pPr>
      <w:r>
        <w:rPr>
          <w:sz w:val="24"/>
        </w:rPr>
        <w:t>note</w:t>
      </w:r>
      <w:r>
        <w:rPr>
          <w:spacing w:val="75"/>
          <w:sz w:val="24"/>
        </w:rPr>
        <w:t> </w:t>
      </w:r>
      <w:r>
        <w:rPr>
          <w:sz w:val="24"/>
        </w:rPr>
        <w:t>the</w:t>
      </w:r>
      <w:r>
        <w:rPr>
          <w:spacing w:val="75"/>
          <w:sz w:val="24"/>
        </w:rPr>
        <w:t> </w:t>
      </w:r>
      <w:r>
        <w:rPr>
          <w:sz w:val="24"/>
        </w:rPr>
        <w:t>draft</w:t>
      </w:r>
      <w:r>
        <w:rPr>
          <w:spacing w:val="75"/>
          <w:sz w:val="24"/>
        </w:rPr>
        <w:t> </w:t>
      </w:r>
      <w:r>
        <w:rPr>
          <w:sz w:val="24"/>
        </w:rPr>
        <w:t>year-end</w:t>
      </w:r>
      <w:r>
        <w:rPr>
          <w:spacing w:val="75"/>
          <w:sz w:val="24"/>
        </w:rPr>
        <w:t> </w:t>
      </w:r>
      <w:r>
        <w:rPr>
          <w:sz w:val="24"/>
        </w:rPr>
        <w:t>outturn,</w:t>
      </w:r>
      <w:r>
        <w:rPr>
          <w:spacing w:val="77"/>
          <w:sz w:val="24"/>
        </w:rPr>
        <w:t> </w:t>
      </w:r>
      <w:r>
        <w:rPr>
          <w:sz w:val="24"/>
        </w:rPr>
        <w:t>subject</w:t>
      </w:r>
      <w:r>
        <w:rPr>
          <w:spacing w:val="77"/>
          <w:sz w:val="24"/>
        </w:rPr>
        <w:t> </w:t>
      </w:r>
      <w:r>
        <w:rPr>
          <w:sz w:val="24"/>
        </w:rPr>
        <w:t>to</w:t>
      </w:r>
      <w:r>
        <w:rPr>
          <w:spacing w:val="77"/>
          <w:sz w:val="24"/>
        </w:rPr>
        <w:t> </w:t>
      </w:r>
      <w:r>
        <w:rPr>
          <w:sz w:val="24"/>
        </w:rPr>
        <w:t>further</w:t>
      </w:r>
      <w:r>
        <w:rPr>
          <w:spacing w:val="73"/>
          <w:sz w:val="24"/>
        </w:rPr>
        <w:t> </w:t>
      </w:r>
      <w:r>
        <w:rPr>
          <w:sz w:val="24"/>
        </w:rPr>
        <w:t>analysis</w:t>
      </w:r>
      <w:r>
        <w:rPr>
          <w:spacing w:val="74"/>
          <w:sz w:val="24"/>
        </w:rPr>
        <w:t> </w:t>
      </w:r>
      <w:r>
        <w:rPr>
          <w:sz w:val="24"/>
        </w:rPr>
        <w:t>and</w:t>
      </w:r>
      <w:r>
        <w:rPr>
          <w:spacing w:val="77"/>
          <w:sz w:val="24"/>
        </w:rPr>
        <w:t> </w:t>
      </w:r>
      <w:r>
        <w:rPr>
          <w:sz w:val="24"/>
        </w:rPr>
        <w:t>audit</w:t>
      </w:r>
      <w:r>
        <w:rPr>
          <w:spacing w:val="75"/>
          <w:sz w:val="24"/>
        </w:rPr>
        <w:t> </w:t>
      </w:r>
      <w:r>
        <w:rPr>
          <w:sz w:val="24"/>
        </w:rPr>
        <w:t>for 2024/25, reports a surplus of £546k;</w:t>
      </w:r>
    </w:p>
    <w:p>
      <w:pPr>
        <w:pStyle w:val="ListParagraph"/>
        <w:numPr>
          <w:ilvl w:val="1"/>
          <w:numId w:val="1"/>
        </w:numPr>
        <w:tabs>
          <w:tab w:pos="1276" w:val="left" w:leader="none"/>
        </w:tabs>
        <w:spacing w:line="240" w:lineRule="auto" w:before="0" w:after="0"/>
        <w:ind w:left="1276" w:right="0" w:hanging="566"/>
        <w:jc w:val="left"/>
        <w:rPr>
          <w:sz w:val="24"/>
        </w:rPr>
      </w:pPr>
      <w:r>
        <w:rPr>
          <w:sz w:val="24"/>
        </w:rPr>
        <w:t>note</w:t>
      </w:r>
      <w:r>
        <w:rPr>
          <w:spacing w:val="-3"/>
          <w:sz w:val="24"/>
        </w:rPr>
        <w:t> </w:t>
      </w:r>
      <w:r>
        <w:rPr>
          <w:sz w:val="24"/>
        </w:rPr>
        <w:t>the projected</w:t>
      </w:r>
      <w:r>
        <w:rPr>
          <w:spacing w:val="-3"/>
          <w:sz w:val="24"/>
        </w:rPr>
        <w:t> </w:t>
      </w:r>
      <w:r>
        <w:rPr>
          <w:sz w:val="24"/>
        </w:rPr>
        <w:t>level</w:t>
      </w:r>
      <w:r>
        <w:rPr>
          <w:spacing w:val="-1"/>
          <w:sz w:val="24"/>
        </w:rPr>
        <w:t> </w:t>
      </w:r>
      <w:r>
        <w:rPr>
          <w:sz w:val="24"/>
        </w:rPr>
        <w:t>of </w:t>
      </w:r>
      <w:r>
        <w:rPr>
          <w:spacing w:val="-2"/>
          <w:sz w:val="24"/>
        </w:rPr>
        <w:t>reserves;</w:t>
      </w:r>
    </w:p>
    <w:p>
      <w:pPr>
        <w:pStyle w:val="ListParagraph"/>
        <w:numPr>
          <w:ilvl w:val="1"/>
          <w:numId w:val="1"/>
        </w:numPr>
        <w:tabs>
          <w:tab w:pos="1276" w:val="left" w:leader="none"/>
        </w:tabs>
        <w:spacing w:line="240" w:lineRule="auto" w:before="0" w:after="0"/>
        <w:ind w:left="1276" w:right="0" w:hanging="566"/>
        <w:jc w:val="left"/>
        <w:rPr>
          <w:sz w:val="24"/>
        </w:rPr>
      </w:pPr>
      <w:r>
        <w:rPr>
          <w:sz w:val="24"/>
        </w:rPr>
        <w:t>note</w:t>
      </w:r>
      <w:r>
        <w:rPr>
          <w:spacing w:val="-5"/>
          <w:sz w:val="24"/>
        </w:rPr>
        <w:t> </w:t>
      </w:r>
      <w:r>
        <w:rPr>
          <w:sz w:val="24"/>
        </w:rPr>
        <w:t>the</w:t>
      </w:r>
      <w:r>
        <w:rPr>
          <w:spacing w:val="-1"/>
          <w:sz w:val="24"/>
        </w:rPr>
        <w:t> </w:t>
      </w:r>
      <w:r>
        <w:rPr>
          <w:sz w:val="24"/>
        </w:rPr>
        <w:t>Audit Strategy</w:t>
      </w:r>
      <w:r>
        <w:rPr>
          <w:spacing w:val="-4"/>
          <w:sz w:val="24"/>
        </w:rPr>
        <w:t> </w:t>
      </w:r>
      <w:r>
        <w:rPr>
          <w:sz w:val="24"/>
        </w:rPr>
        <w:t>report</w:t>
      </w:r>
      <w:r>
        <w:rPr>
          <w:spacing w:val="-3"/>
          <w:sz w:val="24"/>
        </w:rPr>
        <w:t> </w:t>
      </w:r>
      <w:r>
        <w:rPr>
          <w:sz w:val="24"/>
        </w:rPr>
        <w:t>at Appendix</w:t>
      </w:r>
      <w:r>
        <w:rPr>
          <w:spacing w:val="-2"/>
          <w:sz w:val="24"/>
        </w:rPr>
        <w:t> </w:t>
      </w:r>
      <w:r>
        <w:rPr>
          <w:sz w:val="24"/>
        </w:rPr>
        <w:t>E</w:t>
      </w:r>
      <w:r>
        <w:rPr>
          <w:spacing w:val="-3"/>
          <w:sz w:val="24"/>
        </w:rPr>
        <w:t> </w:t>
      </w:r>
      <w:r>
        <w:rPr>
          <w:sz w:val="24"/>
        </w:rPr>
        <w:t>of</w:t>
      </w:r>
      <w:r>
        <w:rPr>
          <w:spacing w:val="-1"/>
          <w:sz w:val="24"/>
        </w:rPr>
        <w:t> </w:t>
      </w:r>
      <w:r>
        <w:rPr>
          <w:sz w:val="24"/>
        </w:rPr>
        <w:t>the</w:t>
      </w:r>
      <w:r>
        <w:rPr>
          <w:spacing w:val="-2"/>
          <w:sz w:val="24"/>
        </w:rPr>
        <w:t> report;</w:t>
      </w:r>
    </w:p>
    <w:p>
      <w:pPr>
        <w:pStyle w:val="ListParagraph"/>
        <w:numPr>
          <w:ilvl w:val="1"/>
          <w:numId w:val="1"/>
        </w:numPr>
        <w:tabs>
          <w:tab w:pos="1276" w:val="left" w:leader="none"/>
        </w:tabs>
        <w:spacing w:line="240" w:lineRule="auto" w:before="0" w:after="0"/>
        <w:ind w:left="1276" w:right="0" w:hanging="566"/>
        <w:jc w:val="left"/>
        <w:rPr>
          <w:sz w:val="24"/>
        </w:rPr>
      </w:pPr>
      <w:r>
        <w:rPr>
          <w:sz w:val="24"/>
        </w:rPr>
        <w:t>note</w:t>
      </w:r>
      <w:r>
        <w:rPr>
          <w:spacing w:val="-5"/>
          <w:sz w:val="24"/>
        </w:rPr>
        <w:t> </w:t>
      </w:r>
      <w:r>
        <w:rPr>
          <w:sz w:val="24"/>
        </w:rPr>
        <w:t>no</w:t>
      </w:r>
      <w:r>
        <w:rPr>
          <w:spacing w:val="-3"/>
          <w:sz w:val="24"/>
        </w:rPr>
        <w:t> </w:t>
      </w:r>
      <w:r>
        <w:rPr>
          <w:sz w:val="24"/>
        </w:rPr>
        <w:t>breaches</w:t>
      </w:r>
      <w:r>
        <w:rPr>
          <w:spacing w:val="-4"/>
          <w:sz w:val="24"/>
        </w:rPr>
        <w:t> </w:t>
      </w:r>
      <w:r>
        <w:rPr>
          <w:sz w:val="24"/>
        </w:rPr>
        <w:t>of internal</w:t>
      </w:r>
      <w:r>
        <w:rPr>
          <w:spacing w:val="-2"/>
          <w:sz w:val="24"/>
        </w:rPr>
        <w:t> </w:t>
      </w:r>
      <w:r>
        <w:rPr>
          <w:sz w:val="24"/>
        </w:rPr>
        <w:t>controls</w:t>
      </w:r>
      <w:r>
        <w:rPr>
          <w:spacing w:val="-2"/>
          <w:sz w:val="24"/>
        </w:rPr>
        <w:t> </w:t>
      </w:r>
      <w:r>
        <w:rPr>
          <w:sz w:val="24"/>
        </w:rPr>
        <w:t>have</w:t>
      </w:r>
      <w:r>
        <w:rPr>
          <w:spacing w:val="-3"/>
          <w:sz w:val="24"/>
        </w:rPr>
        <w:t> </w:t>
      </w:r>
      <w:r>
        <w:rPr>
          <w:sz w:val="24"/>
        </w:rPr>
        <w:t>been</w:t>
      </w:r>
      <w:r>
        <w:rPr>
          <w:spacing w:val="-1"/>
          <w:sz w:val="24"/>
        </w:rPr>
        <w:t> </w:t>
      </w:r>
      <w:r>
        <w:rPr>
          <w:sz w:val="24"/>
        </w:rPr>
        <w:t>reported</w:t>
      </w:r>
      <w:r>
        <w:rPr>
          <w:spacing w:val="-2"/>
          <w:sz w:val="24"/>
        </w:rPr>
        <w:t> </w:t>
      </w:r>
      <w:r>
        <w:rPr>
          <w:sz w:val="24"/>
        </w:rPr>
        <w:t>in</w:t>
      </w:r>
      <w:r>
        <w:rPr>
          <w:spacing w:val="-1"/>
          <w:sz w:val="24"/>
        </w:rPr>
        <w:t> </w:t>
      </w:r>
      <w:r>
        <w:rPr>
          <w:sz w:val="24"/>
        </w:rPr>
        <w:t>the</w:t>
      </w:r>
      <w:r>
        <w:rPr>
          <w:spacing w:val="-3"/>
          <w:sz w:val="24"/>
        </w:rPr>
        <w:t> </w:t>
      </w:r>
      <w:r>
        <w:rPr>
          <w:sz w:val="24"/>
        </w:rPr>
        <w:t>past</w:t>
      </w:r>
      <w:r>
        <w:rPr>
          <w:spacing w:val="-3"/>
          <w:sz w:val="24"/>
        </w:rPr>
        <w:t> </w:t>
      </w:r>
      <w:r>
        <w:rPr>
          <w:spacing w:val="-2"/>
          <w:sz w:val="24"/>
        </w:rPr>
        <w:t>quarter;</w:t>
      </w:r>
    </w:p>
    <w:p>
      <w:pPr>
        <w:pStyle w:val="ListParagraph"/>
        <w:numPr>
          <w:ilvl w:val="1"/>
          <w:numId w:val="1"/>
        </w:numPr>
        <w:tabs>
          <w:tab w:pos="1276" w:val="left" w:leader="none"/>
        </w:tabs>
        <w:spacing w:line="240" w:lineRule="auto" w:before="0" w:after="0"/>
        <w:ind w:left="1276" w:right="138" w:hanging="567"/>
        <w:jc w:val="left"/>
        <w:rPr>
          <w:sz w:val="24"/>
        </w:rPr>
      </w:pPr>
      <w:r>
        <w:rPr>
          <w:sz w:val="24"/>
        </w:rPr>
        <w:t>note</w:t>
      </w:r>
      <w:r>
        <w:rPr>
          <w:spacing w:val="80"/>
          <w:sz w:val="24"/>
        </w:rPr>
        <w:t> </w:t>
      </w:r>
      <w:r>
        <w:rPr>
          <w:sz w:val="24"/>
        </w:rPr>
        <w:t>there</w:t>
      </w:r>
      <w:r>
        <w:rPr>
          <w:spacing w:val="80"/>
          <w:sz w:val="24"/>
        </w:rPr>
        <w:t> </w:t>
      </w:r>
      <w:r>
        <w:rPr>
          <w:sz w:val="24"/>
        </w:rPr>
        <w:t>have</w:t>
      </w:r>
      <w:r>
        <w:rPr>
          <w:spacing w:val="80"/>
          <w:sz w:val="24"/>
        </w:rPr>
        <w:t> </w:t>
      </w:r>
      <w:r>
        <w:rPr>
          <w:sz w:val="24"/>
        </w:rPr>
        <w:t>been</w:t>
      </w:r>
      <w:r>
        <w:rPr>
          <w:spacing w:val="80"/>
          <w:sz w:val="24"/>
        </w:rPr>
        <w:t> </w:t>
      </w:r>
      <w:r>
        <w:rPr>
          <w:sz w:val="24"/>
        </w:rPr>
        <w:t>no</w:t>
      </w:r>
      <w:r>
        <w:rPr>
          <w:spacing w:val="80"/>
          <w:sz w:val="24"/>
        </w:rPr>
        <w:t> </w:t>
      </w:r>
      <w:r>
        <w:rPr>
          <w:sz w:val="24"/>
        </w:rPr>
        <w:t>data</w:t>
      </w:r>
      <w:r>
        <w:rPr>
          <w:spacing w:val="80"/>
          <w:sz w:val="24"/>
        </w:rPr>
        <w:t> </w:t>
      </w:r>
      <w:r>
        <w:rPr>
          <w:sz w:val="24"/>
        </w:rPr>
        <w:t>breaches</w:t>
      </w:r>
      <w:r>
        <w:rPr>
          <w:spacing w:val="80"/>
          <w:sz w:val="24"/>
        </w:rPr>
        <w:t> </w:t>
      </w:r>
      <w:r>
        <w:rPr>
          <w:sz w:val="24"/>
        </w:rPr>
        <w:t>reportable</w:t>
      </w:r>
      <w:r>
        <w:rPr>
          <w:spacing w:val="80"/>
          <w:sz w:val="24"/>
        </w:rPr>
        <w:t> </w:t>
      </w:r>
      <w:r>
        <w:rPr>
          <w:sz w:val="24"/>
        </w:rPr>
        <w:t>to</w:t>
      </w:r>
      <w:r>
        <w:rPr>
          <w:spacing w:val="80"/>
          <w:sz w:val="24"/>
        </w:rPr>
        <w:t> </w:t>
      </w:r>
      <w:r>
        <w:rPr>
          <w:sz w:val="24"/>
        </w:rPr>
        <w:t>the</w:t>
      </w:r>
      <w:r>
        <w:rPr>
          <w:spacing w:val="80"/>
          <w:sz w:val="24"/>
        </w:rPr>
        <w:t> </w:t>
      </w:r>
      <w:r>
        <w:rPr>
          <w:sz w:val="24"/>
        </w:rPr>
        <w:t>Information</w:t>
      </w:r>
      <w:r>
        <w:rPr>
          <w:spacing w:val="40"/>
          <w:sz w:val="24"/>
        </w:rPr>
        <w:t> </w:t>
      </w:r>
      <w:r>
        <w:rPr>
          <w:sz w:val="24"/>
        </w:rPr>
        <w:t>Commissioner in the past quarter;</w:t>
      </w:r>
    </w:p>
    <w:p>
      <w:pPr>
        <w:pStyle w:val="ListParagraph"/>
        <w:numPr>
          <w:ilvl w:val="1"/>
          <w:numId w:val="1"/>
        </w:numPr>
        <w:tabs>
          <w:tab w:pos="1276" w:val="left" w:leader="none"/>
        </w:tabs>
        <w:spacing w:line="240" w:lineRule="auto" w:before="0" w:after="0"/>
        <w:ind w:left="1276" w:right="135" w:hanging="567"/>
        <w:jc w:val="left"/>
        <w:rPr>
          <w:sz w:val="24"/>
        </w:rPr>
      </w:pPr>
      <w:r>
        <w:rPr>
          <w:sz w:val="24"/>
        </w:rPr>
        <w:t>note</w:t>
      </w:r>
      <w:r>
        <w:rPr>
          <w:spacing w:val="80"/>
          <w:sz w:val="24"/>
        </w:rPr>
        <w:t> </w:t>
      </w:r>
      <w:r>
        <w:rPr>
          <w:sz w:val="24"/>
        </w:rPr>
        <w:t>the</w:t>
      </w:r>
      <w:r>
        <w:rPr>
          <w:spacing w:val="80"/>
          <w:sz w:val="24"/>
        </w:rPr>
        <w:t> </w:t>
      </w:r>
      <w:r>
        <w:rPr>
          <w:sz w:val="24"/>
        </w:rPr>
        <w:t>internal</w:t>
      </w:r>
      <w:r>
        <w:rPr>
          <w:spacing w:val="80"/>
          <w:sz w:val="24"/>
        </w:rPr>
        <w:t> </w:t>
      </w:r>
      <w:r>
        <w:rPr>
          <w:sz w:val="24"/>
        </w:rPr>
        <w:t>audit</w:t>
      </w:r>
      <w:r>
        <w:rPr>
          <w:spacing w:val="80"/>
          <w:sz w:val="24"/>
        </w:rPr>
        <w:t> </w:t>
      </w:r>
      <w:r>
        <w:rPr>
          <w:sz w:val="24"/>
        </w:rPr>
        <w:t>report</w:t>
      </w:r>
      <w:r>
        <w:rPr>
          <w:spacing w:val="80"/>
          <w:sz w:val="24"/>
        </w:rPr>
        <w:t> </w:t>
      </w:r>
      <w:r>
        <w:rPr>
          <w:sz w:val="24"/>
        </w:rPr>
        <w:t>on</w:t>
      </w:r>
      <w:r>
        <w:rPr>
          <w:spacing w:val="80"/>
          <w:sz w:val="24"/>
        </w:rPr>
        <w:t> </w:t>
      </w:r>
      <w:r>
        <w:rPr>
          <w:sz w:val="24"/>
        </w:rPr>
        <w:t>HLH’s</w:t>
      </w:r>
      <w:r>
        <w:rPr>
          <w:spacing w:val="80"/>
          <w:sz w:val="24"/>
        </w:rPr>
        <w:t> </w:t>
      </w:r>
      <w:r>
        <w:rPr>
          <w:sz w:val="24"/>
        </w:rPr>
        <w:t>Risk</w:t>
      </w:r>
      <w:r>
        <w:rPr>
          <w:spacing w:val="80"/>
          <w:sz w:val="24"/>
        </w:rPr>
        <w:t> </w:t>
      </w:r>
      <w:r>
        <w:rPr>
          <w:sz w:val="24"/>
        </w:rPr>
        <w:t>Management</w:t>
      </w:r>
      <w:r>
        <w:rPr>
          <w:spacing w:val="80"/>
          <w:sz w:val="24"/>
        </w:rPr>
        <w:t> </w:t>
      </w:r>
      <w:r>
        <w:rPr>
          <w:sz w:val="24"/>
        </w:rPr>
        <w:t>processes</w:t>
      </w:r>
      <w:r>
        <w:rPr>
          <w:spacing w:val="80"/>
          <w:sz w:val="24"/>
        </w:rPr>
        <w:t> </w:t>
      </w:r>
      <w:r>
        <w:rPr>
          <w:sz w:val="24"/>
        </w:rPr>
        <w:t>at Appendix F of the report;</w:t>
      </w:r>
    </w:p>
    <w:p>
      <w:pPr>
        <w:pStyle w:val="ListParagraph"/>
        <w:numPr>
          <w:ilvl w:val="1"/>
          <w:numId w:val="1"/>
        </w:numPr>
        <w:tabs>
          <w:tab w:pos="1276" w:val="left" w:leader="none"/>
        </w:tabs>
        <w:spacing w:line="240" w:lineRule="auto" w:before="0" w:after="0"/>
        <w:ind w:left="1276" w:right="0" w:hanging="566"/>
        <w:jc w:val="left"/>
        <w:rPr>
          <w:sz w:val="24"/>
        </w:rPr>
      </w:pPr>
      <w:r>
        <w:rPr>
          <w:sz w:val="24"/>
        </w:rPr>
        <w:t>agree</w:t>
      </w:r>
      <w:r>
        <w:rPr>
          <w:spacing w:val="-5"/>
          <w:sz w:val="24"/>
        </w:rPr>
        <w:t> </w:t>
      </w:r>
      <w:r>
        <w:rPr>
          <w:sz w:val="24"/>
        </w:rPr>
        <w:t>that</w:t>
      </w:r>
      <w:r>
        <w:rPr>
          <w:spacing w:val="-2"/>
          <w:sz w:val="24"/>
        </w:rPr>
        <w:t> </w:t>
      </w:r>
      <w:r>
        <w:rPr>
          <w:sz w:val="24"/>
        </w:rPr>
        <w:t>HLH</w:t>
      </w:r>
      <w:r>
        <w:rPr>
          <w:spacing w:val="-4"/>
          <w:sz w:val="24"/>
        </w:rPr>
        <w:t> </w:t>
      </w:r>
      <w:r>
        <w:rPr>
          <w:sz w:val="24"/>
        </w:rPr>
        <w:t>maintains</w:t>
      </w:r>
      <w:r>
        <w:rPr>
          <w:spacing w:val="-3"/>
          <w:sz w:val="24"/>
        </w:rPr>
        <w:t> </w:t>
      </w:r>
      <w:r>
        <w:rPr>
          <w:sz w:val="24"/>
        </w:rPr>
        <w:t>its</w:t>
      </w:r>
      <w:r>
        <w:rPr>
          <w:spacing w:val="-2"/>
          <w:sz w:val="24"/>
        </w:rPr>
        <w:t> </w:t>
      </w:r>
      <w:r>
        <w:rPr>
          <w:sz w:val="24"/>
        </w:rPr>
        <w:t>current</w:t>
      </w:r>
      <w:r>
        <w:rPr>
          <w:spacing w:val="-4"/>
          <w:sz w:val="24"/>
        </w:rPr>
        <w:t> </w:t>
      </w:r>
      <w:r>
        <w:rPr>
          <w:sz w:val="24"/>
        </w:rPr>
        <w:t>banking</w:t>
      </w:r>
      <w:r>
        <w:rPr>
          <w:spacing w:val="-3"/>
          <w:sz w:val="24"/>
        </w:rPr>
        <w:t> </w:t>
      </w:r>
      <w:r>
        <w:rPr>
          <w:sz w:val="24"/>
        </w:rPr>
        <w:t>arrangements;</w:t>
      </w:r>
      <w:r>
        <w:rPr>
          <w:spacing w:val="-3"/>
          <w:sz w:val="24"/>
        </w:rPr>
        <w:t> </w:t>
      </w:r>
      <w:r>
        <w:rPr>
          <w:spacing w:val="-5"/>
          <w:sz w:val="24"/>
        </w:rPr>
        <w:t>and</w:t>
      </w:r>
    </w:p>
    <w:p>
      <w:pPr>
        <w:pStyle w:val="ListParagraph"/>
        <w:spacing w:after="0" w:line="240" w:lineRule="auto"/>
        <w:jc w:val="left"/>
        <w:rPr>
          <w:sz w:val="24"/>
        </w:rPr>
        <w:sectPr>
          <w:pgSz w:w="11910" w:h="16840"/>
          <w:pgMar w:top="1340" w:bottom="280" w:left="1133" w:right="992"/>
        </w:sectPr>
      </w:pPr>
    </w:p>
    <w:p>
      <w:pPr>
        <w:pStyle w:val="ListParagraph"/>
        <w:numPr>
          <w:ilvl w:val="1"/>
          <w:numId w:val="1"/>
        </w:numPr>
        <w:tabs>
          <w:tab w:pos="1276" w:val="left" w:leader="none"/>
        </w:tabs>
        <w:spacing w:line="240" w:lineRule="auto" w:before="82" w:after="0"/>
        <w:ind w:left="1276" w:right="0" w:hanging="566"/>
        <w:jc w:val="left"/>
        <w:rPr>
          <w:sz w:val="24"/>
        </w:rPr>
      </w:pPr>
      <w:r>
        <w:rPr>
          <w:sz w:val="24"/>
        </w:rPr>
        <w:t>note</w:t>
      </w:r>
      <w:r>
        <w:rPr>
          <w:spacing w:val="-3"/>
          <w:sz w:val="24"/>
        </w:rPr>
        <w:t> </w:t>
      </w:r>
      <w:r>
        <w:rPr>
          <w:sz w:val="24"/>
        </w:rPr>
        <w:t>that</w:t>
      </w:r>
      <w:r>
        <w:rPr>
          <w:spacing w:val="-1"/>
          <w:sz w:val="24"/>
        </w:rPr>
        <w:t> </w:t>
      </w:r>
      <w:r>
        <w:rPr>
          <w:sz w:val="24"/>
        </w:rPr>
        <w:t>the</w:t>
      </w:r>
      <w:r>
        <w:rPr>
          <w:spacing w:val="-2"/>
          <w:sz w:val="24"/>
        </w:rPr>
        <w:t> </w:t>
      </w:r>
      <w:r>
        <w:rPr>
          <w:sz w:val="24"/>
        </w:rPr>
        <w:t>charity</w:t>
      </w:r>
      <w:r>
        <w:rPr>
          <w:spacing w:val="-1"/>
          <w:sz w:val="24"/>
        </w:rPr>
        <w:t> </w:t>
      </w:r>
      <w:r>
        <w:rPr>
          <w:sz w:val="24"/>
        </w:rPr>
        <w:t>remains</w:t>
      </w:r>
      <w:r>
        <w:rPr>
          <w:spacing w:val="-2"/>
          <w:sz w:val="24"/>
        </w:rPr>
        <w:t> </w:t>
      </w:r>
      <w:r>
        <w:rPr>
          <w:sz w:val="24"/>
        </w:rPr>
        <w:t>Teckal</w:t>
      </w:r>
      <w:r>
        <w:rPr>
          <w:spacing w:val="-2"/>
          <w:sz w:val="24"/>
        </w:rPr>
        <w:t> compliant.</w:t>
      </w:r>
    </w:p>
    <w:p>
      <w:pPr>
        <w:pStyle w:val="BodyText"/>
      </w:pPr>
    </w:p>
    <w:p>
      <w:pPr>
        <w:pStyle w:val="Heading1"/>
        <w:numPr>
          <w:ilvl w:val="0"/>
          <w:numId w:val="1"/>
        </w:numPr>
        <w:tabs>
          <w:tab w:pos="710" w:val="left" w:leader="none"/>
        </w:tabs>
        <w:spacing w:line="240" w:lineRule="auto" w:before="0" w:after="0"/>
        <w:ind w:left="710" w:right="0" w:hanging="567"/>
        <w:jc w:val="left"/>
      </w:pPr>
      <w:r>
        <w:rPr/>
        <w:t>Quarter</w:t>
      </w:r>
      <w:r>
        <w:rPr>
          <w:spacing w:val="-5"/>
        </w:rPr>
        <w:t> </w:t>
      </w:r>
      <w:r>
        <w:rPr/>
        <w:t>four</w:t>
      </w:r>
      <w:r>
        <w:rPr>
          <w:spacing w:val="-2"/>
        </w:rPr>
        <w:t> </w:t>
      </w:r>
      <w:r>
        <w:rPr/>
        <w:t>2024/25</w:t>
      </w:r>
      <w:r>
        <w:rPr>
          <w:spacing w:val="-3"/>
        </w:rPr>
        <w:t> </w:t>
      </w:r>
      <w:r>
        <w:rPr/>
        <w:t>-</w:t>
      </w:r>
      <w:r>
        <w:rPr>
          <w:spacing w:val="-3"/>
        </w:rPr>
        <w:t> </w:t>
      </w:r>
      <w:r>
        <w:rPr/>
        <w:t>Performance</w:t>
      </w:r>
      <w:r>
        <w:rPr>
          <w:spacing w:val="-3"/>
        </w:rPr>
        <w:t> </w:t>
      </w:r>
      <w:r>
        <w:rPr/>
        <w:t>Report</w:t>
      </w:r>
      <w:r>
        <w:rPr>
          <w:spacing w:val="-2"/>
        </w:rPr>
        <w:t> </w:t>
      </w:r>
      <w:r>
        <w:rPr/>
        <w:t>–</w:t>
      </w:r>
      <w:r>
        <w:rPr>
          <w:spacing w:val="-1"/>
        </w:rPr>
        <w:t> </w:t>
      </w:r>
      <w:r>
        <w:rPr/>
        <w:t>HLH</w:t>
      </w:r>
      <w:r>
        <w:rPr>
          <w:spacing w:val="-2"/>
        </w:rPr>
        <w:t> </w:t>
      </w:r>
      <w:r>
        <w:rPr/>
        <w:t>Strategy</w:t>
      </w:r>
      <w:r>
        <w:rPr>
          <w:spacing w:val="-3"/>
        </w:rPr>
        <w:t> </w:t>
      </w:r>
      <w:r>
        <w:rPr>
          <w:spacing w:val="-2"/>
        </w:rPr>
        <w:t>2025/2030</w:t>
      </w:r>
    </w:p>
    <w:p>
      <w:pPr>
        <w:spacing w:before="0"/>
        <w:ind w:left="8399" w:right="0" w:firstLine="0"/>
        <w:jc w:val="left"/>
        <w:rPr>
          <w:b/>
          <w:sz w:val="24"/>
        </w:rPr>
      </w:pPr>
      <w:r>
        <w:rPr>
          <w:b/>
          <w:spacing w:val="-2"/>
          <w:sz w:val="24"/>
        </w:rPr>
        <w:t>PP.83-</w:t>
      </w:r>
      <w:r>
        <w:rPr>
          <w:b/>
          <w:spacing w:val="-5"/>
          <w:sz w:val="24"/>
        </w:rPr>
        <w:t>133</w:t>
      </w:r>
    </w:p>
    <w:p>
      <w:pPr>
        <w:pStyle w:val="BodyText"/>
        <w:rPr>
          <w:b/>
        </w:rPr>
      </w:pPr>
    </w:p>
    <w:p>
      <w:pPr>
        <w:pStyle w:val="BodyText"/>
        <w:ind w:left="710" w:right="136"/>
        <w:jc w:val="both"/>
      </w:pPr>
      <w:r>
        <w:rPr/>
        <w:t>There is circulated Report No. HLH/10/25 by the Chief Executive presenting performance information for the outcomes identified in the High Life Highland Strategy 2025-2030.</w:t>
      </w:r>
    </w:p>
    <w:p>
      <w:pPr>
        <w:pStyle w:val="BodyText"/>
      </w:pPr>
    </w:p>
    <w:p>
      <w:pPr>
        <w:pStyle w:val="BodyText"/>
        <w:ind w:left="710"/>
        <w:jc w:val="both"/>
      </w:pPr>
      <w:r>
        <w:rPr/>
        <w:t>The</w:t>
      </w:r>
      <w:r>
        <w:rPr>
          <w:spacing w:val="-2"/>
        </w:rPr>
        <w:t> </w:t>
      </w:r>
      <w:r>
        <w:rPr/>
        <w:t>Board</w:t>
      </w:r>
      <w:r>
        <w:rPr>
          <w:spacing w:val="-1"/>
        </w:rPr>
        <w:t> </w:t>
      </w:r>
      <w:r>
        <w:rPr/>
        <w:t>is</w:t>
      </w:r>
      <w:r>
        <w:rPr>
          <w:spacing w:val="-2"/>
        </w:rPr>
        <w:t> </w:t>
      </w:r>
      <w:r>
        <w:rPr/>
        <w:t>invited</w:t>
      </w:r>
      <w:r>
        <w:rPr>
          <w:spacing w:val="-3"/>
        </w:rPr>
        <w:t> </w:t>
      </w:r>
      <w:r>
        <w:rPr>
          <w:spacing w:val="-4"/>
        </w:rPr>
        <w:t>to:-</w:t>
      </w:r>
    </w:p>
    <w:p>
      <w:pPr>
        <w:pStyle w:val="BodyText"/>
      </w:pPr>
    </w:p>
    <w:p>
      <w:pPr>
        <w:pStyle w:val="ListParagraph"/>
        <w:numPr>
          <w:ilvl w:val="1"/>
          <w:numId w:val="1"/>
        </w:numPr>
        <w:tabs>
          <w:tab w:pos="1276" w:val="left" w:leader="none"/>
        </w:tabs>
        <w:spacing w:line="240" w:lineRule="auto" w:before="0" w:after="0"/>
        <w:ind w:left="1276" w:right="0" w:hanging="566"/>
        <w:jc w:val="left"/>
        <w:rPr>
          <w:sz w:val="24"/>
        </w:rPr>
      </w:pPr>
      <w:r>
        <w:rPr>
          <w:sz w:val="24"/>
        </w:rPr>
        <w:t>note</w:t>
      </w:r>
      <w:r>
        <w:rPr>
          <w:spacing w:val="-4"/>
          <w:sz w:val="24"/>
        </w:rPr>
        <w:t> </w:t>
      </w:r>
      <w:r>
        <w:rPr>
          <w:sz w:val="24"/>
        </w:rPr>
        <w:t>and</w:t>
      </w:r>
      <w:r>
        <w:rPr>
          <w:spacing w:val="-2"/>
          <w:sz w:val="24"/>
        </w:rPr>
        <w:t> </w:t>
      </w:r>
      <w:r>
        <w:rPr>
          <w:sz w:val="24"/>
        </w:rPr>
        <w:t>comment</w:t>
      </w:r>
      <w:r>
        <w:rPr>
          <w:spacing w:val="-1"/>
          <w:sz w:val="24"/>
        </w:rPr>
        <w:t> </w:t>
      </w:r>
      <w:r>
        <w:rPr>
          <w:sz w:val="24"/>
        </w:rPr>
        <w:t>on</w:t>
      </w:r>
      <w:r>
        <w:rPr>
          <w:spacing w:val="-2"/>
          <w:sz w:val="24"/>
        </w:rPr>
        <w:t> </w:t>
      </w:r>
      <w:r>
        <w:rPr>
          <w:sz w:val="24"/>
        </w:rPr>
        <w:t>the</w:t>
      </w:r>
      <w:r>
        <w:rPr>
          <w:spacing w:val="-2"/>
          <w:sz w:val="24"/>
        </w:rPr>
        <w:t> </w:t>
      </w:r>
      <w:r>
        <w:rPr>
          <w:sz w:val="24"/>
        </w:rPr>
        <w:t>performance</w:t>
      </w:r>
      <w:r>
        <w:rPr>
          <w:spacing w:val="-1"/>
          <w:sz w:val="24"/>
        </w:rPr>
        <w:t> </w:t>
      </w:r>
      <w:r>
        <w:rPr>
          <w:spacing w:val="-2"/>
          <w:sz w:val="24"/>
        </w:rPr>
        <w:t>information;</w:t>
      </w:r>
    </w:p>
    <w:p>
      <w:pPr>
        <w:pStyle w:val="ListParagraph"/>
        <w:numPr>
          <w:ilvl w:val="1"/>
          <w:numId w:val="1"/>
        </w:numPr>
        <w:tabs>
          <w:tab w:pos="1276" w:val="left" w:leader="none"/>
        </w:tabs>
        <w:spacing w:line="240" w:lineRule="auto" w:before="0" w:after="0"/>
        <w:ind w:left="1276" w:right="135" w:hanging="567"/>
        <w:jc w:val="left"/>
        <w:rPr>
          <w:sz w:val="24"/>
        </w:rPr>
      </w:pPr>
      <w:r>
        <w:rPr>
          <w:sz w:val="24"/>
        </w:rPr>
        <w:t>note</w:t>
      </w:r>
      <w:r>
        <w:rPr>
          <w:spacing w:val="40"/>
          <w:sz w:val="24"/>
        </w:rPr>
        <w:t> </w:t>
      </w:r>
      <w:r>
        <w:rPr>
          <w:sz w:val="24"/>
        </w:rPr>
        <w:t>and</w:t>
      </w:r>
      <w:r>
        <w:rPr>
          <w:spacing w:val="40"/>
          <w:sz w:val="24"/>
        </w:rPr>
        <w:t> </w:t>
      </w:r>
      <w:r>
        <w:rPr>
          <w:sz w:val="24"/>
        </w:rPr>
        <w:t>approve</w:t>
      </w:r>
      <w:r>
        <w:rPr>
          <w:spacing w:val="40"/>
          <w:sz w:val="24"/>
        </w:rPr>
        <w:t> </w:t>
      </w:r>
      <w:r>
        <w:rPr>
          <w:sz w:val="24"/>
        </w:rPr>
        <w:t>the</w:t>
      </w:r>
      <w:r>
        <w:rPr>
          <w:spacing w:val="40"/>
          <w:sz w:val="24"/>
        </w:rPr>
        <w:t> </w:t>
      </w:r>
      <w:r>
        <w:rPr>
          <w:sz w:val="24"/>
        </w:rPr>
        <w:t>libraries,</w:t>
      </w:r>
      <w:r>
        <w:rPr>
          <w:spacing w:val="40"/>
          <w:sz w:val="24"/>
        </w:rPr>
        <w:t> </w:t>
      </w:r>
      <w:r>
        <w:rPr>
          <w:sz w:val="24"/>
        </w:rPr>
        <w:t>music</w:t>
      </w:r>
      <w:r>
        <w:rPr>
          <w:spacing w:val="40"/>
          <w:sz w:val="24"/>
        </w:rPr>
        <w:t> </w:t>
      </w:r>
      <w:r>
        <w:rPr>
          <w:sz w:val="24"/>
        </w:rPr>
        <w:t>tuition</w:t>
      </w:r>
      <w:r>
        <w:rPr>
          <w:spacing w:val="40"/>
          <w:sz w:val="24"/>
        </w:rPr>
        <w:t> </w:t>
      </w:r>
      <w:r>
        <w:rPr>
          <w:sz w:val="24"/>
        </w:rPr>
        <w:t>and</w:t>
      </w:r>
      <w:r>
        <w:rPr>
          <w:spacing w:val="40"/>
          <w:sz w:val="24"/>
        </w:rPr>
        <w:t> </w:t>
      </w:r>
      <w:r>
        <w:rPr>
          <w:sz w:val="24"/>
        </w:rPr>
        <w:t>sport</w:t>
      </w:r>
      <w:r>
        <w:rPr>
          <w:spacing w:val="40"/>
          <w:sz w:val="24"/>
        </w:rPr>
        <w:t> </w:t>
      </w:r>
      <w:r>
        <w:rPr>
          <w:sz w:val="24"/>
        </w:rPr>
        <w:t>and</w:t>
      </w:r>
      <w:r>
        <w:rPr>
          <w:spacing w:val="40"/>
          <w:sz w:val="24"/>
        </w:rPr>
        <w:t> </w:t>
      </w:r>
      <w:r>
        <w:rPr>
          <w:sz w:val="24"/>
        </w:rPr>
        <w:t>leisure</w:t>
      </w:r>
      <w:r>
        <w:rPr>
          <w:spacing w:val="40"/>
          <w:sz w:val="24"/>
        </w:rPr>
        <w:t> </w:t>
      </w:r>
      <w:r>
        <w:rPr>
          <w:sz w:val="24"/>
        </w:rPr>
        <w:t>delivery plans in Appendices B, C and D of the report; and</w:t>
      </w:r>
    </w:p>
    <w:p>
      <w:pPr>
        <w:pStyle w:val="ListParagraph"/>
        <w:numPr>
          <w:ilvl w:val="1"/>
          <w:numId w:val="1"/>
        </w:numPr>
        <w:tabs>
          <w:tab w:pos="1276" w:val="left" w:leader="none"/>
        </w:tabs>
        <w:spacing w:line="240" w:lineRule="auto" w:before="0" w:after="0"/>
        <w:ind w:left="1276" w:right="139" w:hanging="567"/>
        <w:jc w:val="left"/>
        <w:rPr>
          <w:sz w:val="24"/>
        </w:rPr>
      </w:pPr>
      <w:r>
        <w:rPr>
          <w:sz w:val="24"/>
        </w:rPr>
        <w:t>note</w:t>
      </w:r>
      <w:r>
        <w:rPr>
          <w:spacing w:val="32"/>
          <w:sz w:val="24"/>
        </w:rPr>
        <w:t> </w:t>
      </w:r>
      <w:r>
        <w:rPr>
          <w:sz w:val="24"/>
        </w:rPr>
        <w:t>and</w:t>
      </w:r>
      <w:r>
        <w:rPr>
          <w:spacing w:val="34"/>
          <w:sz w:val="24"/>
        </w:rPr>
        <w:t> </w:t>
      </w:r>
      <w:r>
        <w:rPr>
          <w:sz w:val="24"/>
        </w:rPr>
        <w:t>comment</w:t>
      </w:r>
      <w:r>
        <w:rPr>
          <w:spacing w:val="34"/>
          <w:sz w:val="24"/>
        </w:rPr>
        <w:t> </w:t>
      </w:r>
      <w:r>
        <w:rPr>
          <w:sz w:val="24"/>
        </w:rPr>
        <w:t>on</w:t>
      </w:r>
      <w:r>
        <w:rPr>
          <w:spacing w:val="32"/>
          <w:sz w:val="24"/>
        </w:rPr>
        <w:t> </w:t>
      </w:r>
      <w:r>
        <w:rPr>
          <w:sz w:val="24"/>
        </w:rPr>
        <w:t>the</w:t>
      </w:r>
      <w:r>
        <w:rPr>
          <w:spacing w:val="34"/>
          <w:sz w:val="24"/>
        </w:rPr>
        <w:t> </w:t>
      </w:r>
      <w:r>
        <w:rPr>
          <w:sz w:val="24"/>
        </w:rPr>
        <w:t>music</w:t>
      </w:r>
      <w:r>
        <w:rPr>
          <w:spacing w:val="33"/>
          <w:sz w:val="24"/>
        </w:rPr>
        <w:t> </w:t>
      </w:r>
      <w:r>
        <w:rPr>
          <w:sz w:val="24"/>
        </w:rPr>
        <w:t>tuition</w:t>
      </w:r>
      <w:r>
        <w:rPr>
          <w:spacing w:val="34"/>
          <w:sz w:val="24"/>
        </w:rPr>
        <w:t> </w:t>
      </w:r>
      <w:r>
        <w:rPr>
          <w:sz w:val="24"/>
        </w:rPr>
        <w:t>annual</w:t>
      </w:r>
      <w:r>
        <w:rPr>
          <w:spacing w:val="33"/>
          <w:sz w:val="24"/>
        </w:rPr>
        <w:t> </w:t>
      </w:r>
      <w:r>
        <w:rPr>
          <w:sz w:val="24"/>
        </w:rPr>
        <w:t>review</w:t>
      </w:r>
      <w:r>
        <w:rPr>
          <w:spacing w:val="33"/>
          <w:sz w:val="24"/>
        </w:rPr>
        <w:t> </w:t>
      </w:r>
      <w:r>
        <w:rPr>
          <w:sz w:val="24"/>
        </w:rPr>
        <w:t>in</w:t>
      </w:r>
      <w:r>
        <w:rPr>
          <w:spacing w:val="34"/>
          <w:sz w:val="24"/>
        </w:rPr>
        <w:t> </w:t>
      </w:r>
      <w:r>
        <w:rPr>
          <w:sz w:val="24"/>
        </w:rPr>
        <w:t>Appendix</w:t>
      </w:r>
      <w:r>
        <w:rPr>
          <w:spacing w:val="33"/>
          <w:sz w:val="24"/>
        </w:rPr>
        <w:t> </w:t>
      </w:r>
      <w:r>
        <w:rPr>
          <w:sz w:val="24"/>
        </w:rPr>
        <w:t>E</w:t>
      </w:r>
      <w:r>
        <w:rPr>
          <w:spacing w:val="34"/>
          <w:sz w:val="24"/>
        </w:rPr>
        <w:t> </w:t>
      </w:r>
      <w:r>
        <w:rPr>
          <w:sz w:val="24"/>
        </w:rPr>
        <w:t>of</w:t>
      </w:r>
      <w:r>
        <w:rPr>
          <w:spacing w:val="34"/>
          <w:sz w:val="24"/>
        </w:rPr>
        <w:t> </w:t>
      </w:r>
      <w:r>
        <w:rPr>
          <w:sz w:val="24"/>
        </w:rPr>
        <w:t>the </w:t>
      </w:r>
      <w:r>
        <w:rPr>
          <w:spacing w:val="-2"/>
          <w:sz w:val="24"/>
        </w:rPr>
        <w:t>report.</w:t>
      </w:r>
    </w:p>
    <w:p>
      <w:pPr>
        <w:pStyle w:val="BodyText"/>
      </w:pPr>
    </w:p>
    <w:p>
      <w:pPr>
        <w:pStyle w:val="Heading1"/>
        <w:numPr>
          <w:ilvl w:val="0"/>
          <w:numId w:val="1"/>
        </w:numPr>
        <w:tabs>
          <w:tab w:pos="710" w:val="left" w:leader="none"/>
          <w:tab w:pos="8366" w:val="left" w:leader="none"/>
        </w:tabs>
        <w:spacing w:line="240" w:lineRule="auto" w:before="0" w:after="0"/>
        <w:ind w:left="710" w:right="0" w:hanging="567"/>
        <w:jc w:val="left"/>
      </w:pPr>
      <w:r>
        <w:rPr/>
        <w:t>Annual</w:t>
      </w:r>
      <w:r>
        <w:rPr>
          <w:spacing w:val="-5"/>
        </w:rPr>
        <w:t> </w:t>
      </w:r>
      <w:r>
        <w:rPr/>
        <w:t>Health</w:t>
      </w:r>
      <w:r>
        <w:rPr>
          <w:spacing w:val="-4"/>
        </w:rPr>
        <w:t> </w:t>
      </w:r>
      <w:r>
        <w:rPr/>
        <w:t>and</w:t>
      </w:r>
      <w:r>
        <w:rPr>
          <w:spacing w:val="-7"/>
        </w:rPr>
        <w:t> </w:t>
      </w:r>
      <w:r>
        <w:rPr/>
        <w:t>Safety</w:t>
      </w:r>
      <w:r>
        <w:rPr>
          <w:spacing w:val="-3"/>
        </w:rPr>
        <w:t> </w:t>
      </w:r>
      <w:r>
        <w:rPr/>
        <w:t>and</w:t>
      </w:r>
      <w:r>
        <w:rPr>
          <w:spacing w:val="-4"/>
        </w:rPr>
        <w:t> </w:t>
      </w:r>
      <w:r>
        <w:rPr/>
        <w:t>Environmental</w:t>
      </w:r>
      <w:r>
        <w:rPr>
          <w:spacing w:val="-3"/>
        </w:rPr>
        <w:t> </w:t>
      </w:r>
      <w:r>
        <w:rPr/>
        <w:t>Compliance</w:t>
      </w:r>
      <w:r>
        <w:rPr>
          <w:spacing w:val="-2"/>
        </w:rPr>
        <w:t> Report</w:t>
      </w:r>
      <w:r>
        <w:rPr/>
        <w:tab/>
      </w:r>
      <w:r>
        <w:rPr>
          <w:spacing w:val="-2"/>
        </w:rPr>
        <w:t>PP.134-</w:t>
      </w:r>
      <w:r>
        <w:rPr>
          <w:spacing w:val="-5"/>
        </w:rPr>
        <w:t>139</w:t>
      </w:r>
    </w:p>
    <w:p>
      <w:pPr>
        <w:pStyle w:val="BodyText"/>
        <w:rPr>
          <w:b/>
        </w:rPr>
      </w:pPr>
    </w:p>
    <w:p>
      <w:pPr>
        <w:pStyle w:val="BodyText"/>
        <w:ind w:left="710" w:right="135"/>
        <w:jc w:val="both"/>
      </w:pPr>
      <w:r>
        <w:rPr/>
        <w:t>As Directors will be aware, an important element of the Governance structure relating to the company’s Health and Safety and Environmental Compliance performance is the annual Health and Safety and Environmental Compliance Report.</w:t>
      </w:r>
      <w:r>
        <w:rPr>
          <w:spacing w:val="40"/>
        </w:rPr>
        <w:t> </w:t>
      </w:r>
      <w:r>
        <w:rPr/>
        <w:t>In this regard, there is circulated Report No. HLH/11/25 by the Chief Executive informing Directors about the performance of High Life Highland in terms of</w:t>
      </w:r>
      <w:r>
        <w:rPr>
          <w:spacing w:val="-1"/>
        </w:rPr>
        <w:t> </w:t>
      </w:r>
      <w:r>
        <w:rPr/>
        <w:t>health</w:t>
      </w:r>
      <w:r>
        <w:rPr>
          <w:spacing w:val="-3"/>
        </w:rPr>
        <w:t> </w:t>
      </w:r>
      <w:r>
        <w:rPr/>
        <w:t>and</w:t>
      </w:r>
      <w:r>
        <w:rPr>
          <w:spacing w:val="-1"/>
        </w:rPr>
        <w:t> </w:t>
      </w:r>
      <w:r>
        <w:rPr/>
        <w:t>safety</w:t>
      </w:r>
      <w:r>
        <w:rPr>
          <w:spacing w:val="-4"/>
        </w:rPr>
        <w:t> </w:t>
      </w:r>
      <w:r>
        <w:rPr/>
        <w:t>and</w:t>
      </w:r>
      <w:r>
        <w:rPr>
          <w:spacing w:val="-1"/>
        </w:rPr>
        <w:t> </w:t>
      </w:r>
      <w:r>
        <w:rPr/>
        <w:t>environmental</w:t>
      </w:r>
      <w:r>
        <w:rPr>
          <w:spacing w:val="-2"/>
        </w:rPr>
        <w:t> </w:t>
      </w:r>
      <w:r>
        <w:rPr/>
        <w:t>compliance</w:t>
      </w:r>
      <w:r>
        <w:rPr>
          <w:spacing w:val="-1"/>
        </w:rPr>
        <w:t> </w:t>
      </w:r>
      <w:r>
        <w:rPr/>
        <w:t>for</w:t>
      </w:r>
      <w:r>
        <w:rPr>
          <w:spacing w:val="-3"/>
        </w:rPr>
        <w:t> </w:t>
      </w:r>
      <w:r>
        <w:rPr/>
        <w:t>the</w:t>
      </w:r>
      <w:r>
        <w:rPr>
          <w:spacing w:val="-1"/>
        </w:rPr>
        <w:t> </w:t>
      </w:r>
      <w:r>
        <w:rPr/>
        <w:t>reporting</w:t>
      </w:r>
      <w:r>
        <w:rPr>
          <w:spacing w:val="-3"/>
        </w:rPr>
        <w:t> </w:t>
      </w:r>
      <w:r>
        <w:rPr/>
        <w:t>period</w:t>
      </w:r>
      <w:r>
        <w:rPr>
          <w:spacing w:val="-3"/>
        </w:rPr>
        <w:t> </w:t>
      </w:r>
      <w:r>
        <w:rPr/>
        <w:t>2024/25.</w:t>
      </w:r>
    </w:p>
    <w:p>
      <w:pPr>
        <w:pStyle w:val="BodyText"/>
      </w:pPr>
    </w:p>
    <w:p>
      <w:pPr>
        <w:pStyle w:val="BodyText"/>
        <w:ind w:left="710"/>
        <w:jc w:val="both"/>
      </w:pPr>
      <w:r>
        <w:rPr/>
        <w:t>The</w:t>
      </w:r>
      <w:r>
        <w:rPr>
          <w:spacing w:val="-3"/>
        </w:rPr>
        <w:t> </w:t>
      </w:r>
      <w:r>
        <w:rPr/>
        <w:t>Board</w:t>
      </w:r>
      <w:r>
        <w:rPr>
          <w:spacing w:val="-1"/>
        </w:rPr>
        <w:t> </w:t>
      </w:r>
      <w:r>
        <w:rPr/>
        <w:t>is</w:t>
      </w:r>
      <w:r>
        <w:rPr>
          <w:spacing w:val="-2"/>
        </w:rPr>
        <w:t> </w:t>
      </w:r>
      <w:r>
        <w:rPr/>
        <w:t>invited</w:t>
      </w:r>
      <w:r>
        <w:rPr>
          <w:spacing w:val="-3"/>
        </w:rPr>
        <w:t> </w:t>
      </w:r>
      <w:r>
        <w:rPr/>
        <w:t>to</w:t>
      </w:r>
      <w:r>
        <w:rPr>
          <w:spacing w:val="-3"/>
        </w:rPr>
        <w:t> </w:t>
      </w:r>
      <w:r>
        <w:rPr/>
        <w:t>note</w:t>
      </w:r>
      <w:r>
        <w:rPr>
          <w:spacing w:val="-3"/>
        </w:rPr>
        <w:t> </w:t>
      </w:r>
      <w:r>
        <w:rPr/>
        <w:t>that</w:t>
      </w:r>
      <w:r>
        <w:rPr>
          <w:spacing w:val="-1"/>
        </w:rPr>
        <w:t> </w:t>
      </w:r>
      <w:r>
        <w:rPr/>
        <w:t>during</w:t>
      </w:r>
      <w:r>
        <w:rPr>
          <w:spacing w:val="-1"/>
        </w:rPr>
        <w:t> </w:t>
      </w:r>
      <w:r>
        <w:rPr/>
        <w:t>financial</w:t>
      </w:r>
      <w:r>
        <w:rPr>
          <w:spacing w:val="-2"/>
        </w:rPr>
        <w:t> </w:t>
      </w:r>
      <w:r>
        <w:rPr/>
        <w:t>year</w:t>
      </w:r>
      <w:r>
        <w:rPr>
          <w:spacing w:val="-2"/>
        </w:rPr>
        <w:t> 2024/25:-</w:t>
      </w:r>
    </w:p>
    <w:p>
      <w:pPr>
        <w:pStyle w:val="BodyText"/>
      </w:pPr>
    </w:p>
    <w:p>
      <w:pPr>
        <w:pStyle w:val="ListParagraph"/>
        <w:numPr>
          <w:ilvl w:val="1"/>
          <w:numId w:val="1"/>
        </w:numPr>
        <w:tabs>
          <w:tab w:pos="1275" w:val="left" w:leader="none"/>
        </w:tabs>
        <w:spacing w:line="240" w:lineRule="auto" w:before="0" w:after="0"/>
        <w:ind w:left="1275" w:right="0" w:hanging="565"/>
        <w:jc w:val="both"/>
        <w:rPr>
          <w:sz w:val="24"/>
        </w:rPr>
      </w:pPr>
      <w:r>
        <w:rPr>
          <w:sz w:val="24"/>
        </w:rPr>
        <w:t>there</w:t>
      </w:r>
      <w:r>
        <w:rPr>
          <w:spacing w:val="-4"/>
          <w:sz w:val="24"/>
        </w:rPr>
        <w:t> </w:t>
      </w:r>
      <w:r>
        <w:rPr>
          <w:sz w:val="24"/>
        </w:rPr>
        <w:t>were</w:t>
      </w:r>
      <w:r>
        <w:rPr>
          <w:spacing w:val="-2"/>
          <w:sz w:val="24"/>
        </w:rPr>
        <w:t> </w:t>
      </w:r>
      <w:r>
        <w:rPr>
          <w:sz w:val="24"/>
        </w:rPr>
        <w:t>no</w:t>
      </w:r>
      <w:r>
        <w:rPr>
          <w:spacing w:val="-3"/>
          <w:sz w:val="24"/>
        </w:rPr>
        <w:t> </w:t>
      </w:r>
      <w:r>
        <w:rPr>
          <w:sz w:val="24"/>
        </w:rPr>
        <w:t>notifications</w:t>
      </w:r>
      <w:r>
        <w:rPr>
          <w:spacing w:val="-3"/>
          <w:sz w:val="24"/>
        </w:rPr>
        <w:t> </w:t>
      </w:r>
      <w:r>
        <w:rPr>
          <w:sz w:val="24"/>
        </w:rPr>
        <w:t>for</w:t>
      </w:r>
      <w:r>
        <w:rPr>
          <w:spacing w:val="-4"/>
          <w:sz w:val="24"/>
        </w:rPr>
        <w:t> </w:t>
      </w:r>
      <w:r>
        <w:rPr>
          <w:sz w:val="24"/>
        </w:rPr>
        <w:t>improvement,</w:t>
      </w:r>
      <w:r>
        <w:rPr>
          <w:spacing w:val="-1"/>
          <w:sz w:val="24"/>
        </w:rPr>
        <w:t> </w:t>
      </w:r>
      <w:r>
        <w:rPr>
          <w:sz w:val="24"/>
        </w:rPr>
        <w:t>nor</w:t>
      </w:r>
      <w:r>
        <w:rPr>
          <w:spacing w:val="-4"/>
          <w:sz w:val="24"/>
        </w:rPr>
        <w:t> </w:t>
      </w:r>
      <w:r>
        <w:rPr>
          <w:sz w:val="24"/>
        </w:rPr>
        <w:t>enforcement</w:t>
      </w:r>
      <w:r>
        <w:rPr>
          <w:spacing w:val="-4"/>
          <w:sz w:val="24"/>
        </w:rPr>
        <w:t> </w:t>
      </w:r>
      <w:r>
        <w:rPr>
          <w:spacing w:val="-2"/>
          <w:sz w:val="24"/>
        </w:rPr>
        <w:t>actions;</w:t>
      </w:r>
    </w:p>
    <w:p>
      <w:pPr>
        <w:pStyle w:val="ListParagraph"/>
        <w:numPr>
          <w:ilvl w:val="1"/>
          <w:numId w:val="1"/>
        </w:numPr>
        <w:tabs>
          <w:tab w:pos="1274" w:val="left" w:leader="none"/>
        </w:tabs>
        <w:spacing w:line="240" w:lineRule="auto" w:before="0" w:after="0"/>
        <w:ind w:left="1274" w:right="0" w:hanging="564"/>
        <w:jc w:val="both"/>
        <w:rPr>
          <w:sz w:val="24"/>
        </w:rPr>
      </w:pPr>
      <w:r>
        <w:rPr>
          <w:sz w:val="24"/>
        </w:rPr>
        <w:t>there</w:t>
      </w:r>
      <w:r>
        <w:rPr>
          <w:spacing w:val="-5"/>
          <w:sz w:val="24"/>
        </w:rPr>
        <w:t> </w:t>
      </w:r>
      <w:r>
        <w:rPr>
          <w:sz w:val="24"/>
        </w:rPr>
        <w:t>were</w:t>
      </w:r>
      <w:r>
        <w:rPr>
          <w:spacing w:val="-2"/>
          <w:sz w:val="24"/>
        </w:rPr>
        <w:t> </w:t>
      </w:r>
      <w:r>
        <w:rPr>
          <w:sz w:val="24"/>
        </w:rPr>
        <w:t>no</w:t>
      </w:r>
      <w:r>
        <w:rPr>
          <w:spacing w:val="-5"/>
          <w:sz w:val="24"/>
        </w:rPr>
        <w:t> </w:t>
      </w:r>
      <w:r>
        <w:rPr>
          <w:sz w:val="24"/>
        </w:rPr>
        <w:t>environmental</w:t>
      </w:r>
      <w:r>
        <w:rPr>
          <w:spacing w:val="-3"/>
          <w:sz w:val="24"/>
        </w:rPr>
        <w:t> </w:t>
      </w:r>
      <w:r>
        <w:rPr>
          <w:sz w:val="24"/>
        </w:rPr>
        <w:t>incidents</w:t>
      </w:r>
      <w:r>
        <w:rPr>
          <w:spacing w:val="-6"/>
          <w:sz w:val="24"/>
        </w:rPr>
        <w:t> </w:t>
      </w:r>
      <w:r>
        <w:rPr>
          <w:sz w:val="24"/>
        </w:rPr>
        <w:t>requiring</w:t>
      </w:r>
      <w:r>
        <w:rPr>
          <w:spacing w:val="-2"/>
          <w:sz w:val="24"/>
        </w:rPr>
        <w:t> </w:t>
      </w:r>
      <w:r>
        <w:rPr>
          <w:sz w:val="24"/>
        </w:rPr>
        <w:t>SEPA</w:t>
      </w:r>
      <w:r>
        <w:rPr>
          <w:spacing w:val="-5"/>
          <w:sz w:val="24"/>
        </w:rPr>
        <w:t> </w:t>
      </w:r>
      <w:r>
        <w:rPr>
          <w:spacing w:val="-2"/>
          <w:sz w:val="24"/>
        </w:rPr>
        <w:t>notification;</w:t>
      </w:r>
    </w:p>
    <w:p>
      <w:pPr>
        <w:pStyle w:val="ListParagraph"/>
        <w:numPr>
          <w:ilvl w:val="1"/>
          <w:numId w:val="1"/>
        </w:numPr>
        <w:tabs>
          <w:tab w:pos="1273" w:val="left" w:leader="none"/>
          <w:tab w:pos="1276" w:val="left" w:leader="none"/>
        </w:tabs>
        <w:spacing w:line="240" w:lineRule="auto" w:before="0" w:after="0"/>
        <w:ind w:left="1276" w:right="138" w:hanging="567"/>
        <w:jc w:val="both"/>
        <w:rPr>
          <w:sz w:val="24"/>
        </w:rPr>
      </w:pPr>
      <w:r>
        <w:rPr>
          <w:sz w:val="24"/>
        </w:rPr>
        <w:t>the low number and low severity of accidents or incidents over the reporting period, reflecting continuing good practice across the charity;</w:t>
      </w:r>
    </w:p>
    <w:p>
      <w:pPr>
        <w:pStyle w:val="ListParagraph"/>
        <w:numPr>
          <w:ilvl w:val="1"/>
          <w:numId w:val="1"/>
        </w:numPr>
        <w:tabs>
          <w:tab w:pos="1274" w:val="left" w:leader="none"/>
          <w:tab w:pos="1276" w:val="left" w:leader="none"/>
        </w:tabs>
        <w:spacing w:line="240" w:lineRule="auto" w:before="1" w:after="0"/>
        <w:ind w:left="1276" w:right="135" w:hanging="567"/>
        <w:jc w:val="both"/>
        <w:rPr>
          <w:sz w:val="24"/>
        </w:rPr>
      </w:pPr>
      <w:r>
        <w:rPr>
          <w:sz w:val="24"/>
        </w:rPr>
        <w:t>there had been nine incidents (not resulting in injury) in the year, relating to chemical dispensing units and use of cleaning chemicals, the Health and Safety and Environmental Compliance Committee is overseeing improvement actions relating to this;</w:t>
      </w:r>
    </w:p>
    <w:p>
      <w:pPr>
        <w:pStyle w:val="ListParagraph"/>
        <w:numPr>
          <w:ilvl w:val="1"/>
          <w:numId w:val="1"/>
        </w:numPr>
        <w:tabs>
          <w:tab w:pos="1274" w:val="left" w:leader="none"/>
          <w:tab w:pos="1276" w:val="left" w:leader="none"/>
        </w:tabs>
        <w:spacing w:line="240" w:lineRule="auto" w:before="0" w:after="0"/>
        <w:ind w:left="1276" w:right="135" w:hanging="567"/>
        <w:jc w:val="both"/>
        <w:rPr>
          <w:sz w:val="24"/>
        </w:rPr>
      </w:pPr>
      <w:r>
        <w:rPr>
          <w:sz w:val="24"/>
        </w:rPr>
        <w:t>the Health and Safety and Environmental Compliance Committee continues to meet quarterly with officers and the Charity’s external Health and Safety advisers to review Health and Safety performance; and</w:t>
      </w:r>
    </w:p>
    <w:p>
      <w:pPr>
        <w:pStyle w:val="ListParagraph"/>
        <w:numPr>
          <w:ilvl w:val="1"/>
          <w:numId w:val="1"/>
        </w:numPr>
        <w:tabs>
          <w:tab w:pos="1274" w:val="left" w:leader="none"/>
          <w:tab w:pos="1276" w:val="left" w:leader="none"/>
        </w:tabs>
        <w:spacing w:line="240" w:lineRule="auto" w:before="0" w:after="0"/>
        <w:ind w:left="1276" w:right="138" w:hanging="567"/>
        <w:jc w:val="both"/>
        <w:rPr>
          <w:sz w:val="24"/>
        </w:rPr>
      </w:pPr>
      <w:r>
        <w:rPr>
          <w:sz w:val="24"/>
        </w:rPr>
        <w:t>the external safety audit was completed by QLM during June 2024 with an action plan created for risk reduction.</w:t>
      </w:r>
    </w:p>
    <w:p>
      <w:pPr>
        <w:pStyle w:val="BodyText"/>
      </w:pPr>
    </w:p>
    <w:p>
      <w:pPr>
        <w:pStyle w:val="Heading1"/>
        <w:numPr>
          <w:ilvl w:val="0"/>
          <w:numId w:val="1"/>
        </w:numPr>
        <w:tabs>
          <w:tab w:pos="710" w:val="left" w:leader="none"/>
          <w:tab w:pos="8344" w:val="left" w:leader="none"/>
        </w:tabs>
        <w:spacing w:line="240" w:lineRule="auto" w:before="0" w:after="0"/>
        <w:ind w:left="710" w:right="0" w:hanging="567"/>
        <w:jc w:val="left"/>
      </w:pPr>
      <w:r>
        <w:rPr/>
        <w:t>Human</w:t>
      </w:r>
      <w:r>
        <w:rPr>
          <w:spacing w:val="-4"/>
        </w:rPr>
        <w:t> </w:t>
      </w:r>
      <w:r>
        <w:rPr/>
        <w:t>Resources</w:t>
      </w:r>
      <w:r>
        <w:rPr>
          <w:spacing w:val="-2"/>
        </w:rPr>
        <w:t> Update</w:t>
      </w:r>
      <w:r>
        <w:rPr/>
        <w:tab/>
      </w:r>
      <w:r>
        <w:rPr>
          <w:spacing w:val="-2"/>
        </w:rPr>
        <w:t>PP.140-</w:t>
      </w:r>
      <w:r>
        <w:rPr>
          <w:spacing w:val="-5"/>
        </w:rPr>
        <w:t>148</w:t>
      </w:r>
    </w:p>
    <w:p>
      <w:pPr>
        <w:pStyle w:val="BodyText"/>
        <w:rPr>
          <w:b/>
        </w:rPr>
      </w:pPr>
    </w:p>
    <w:p>
      <w:pPr>
        <w:pStyle w:val="BodyText"/>
        <w:ind w:left="710" w:right="137"/>
        <w:jc w:val="both"/>
      </w:pPr>
      <w:r>
        <w:rPr/>
        <w:t>There is circulated Report No. HLH/12/25 by the Chief Executive providing an overview of the charity’s Human Resources performance.</w:t>
      </w:r>
    </w:p>
    <w:p>
      <w:pPr>
        <w:pStyle w:val="BodyText"/>
      </w:pPr>
    </w:p>
    <w:p>
      <w:pPr>
        <w:pStyle w:val="BodyText"/>
        <w:ind w:left="710"/>
        <w:jc w:val="both"/>
      </w:pPr>
      <w:r>
        <w:rPr/>
        <w:t>The</w:t>
      </w:r>
      <w:r>
        <w:rPr>
          <w:spacing w:val="-1"/>
        </w:rPr>
        <w:t> </w:t>
      </w:r>
      <w:r>
        <w:rPr/>
        <w:t>Board</w:t>
      </w:r>
      <w:r>
        <w:rPr>
          <w:spacing w:val="-1"/>
        </w:rPr>
        <w:t> </w:t>
      </w:r>
      <w:r>
        <w:rPr/>
        <w:t>is</w:t>
      </w:r>
      <w:r>
        <w:rPr>
          <w:spacing w:val="-2"/>
        </w:rPr>
        <w:t> </w:t>
      </w:r>
      <w:r>
        <w:rPr/>
        <w:t>invited</w:t>
      </w:r>
      <w:r>
        <w:rPr>
          <w:spacing w:val="-3"/>
        </w:rPr>
        <w:t> </w:t>
      </w:r>
      <w:r>
        <w:rPr/>
        <w:t>to</w:t>
      </w:r>
      <w:r>
        <w:rPr>
          <w:spacing w:val="-3"/>
        </w:rPr>
        <w:t> </w:t>
      </w:r>
      <w:r>
        <w:rPr>
          <w:spacing w:val="-2"/>
        </w:rPr>
        <w:t>note:-</w:t>
      </w:r>
    </w:p>
    <w:p>
      <w:pPr>
        <w:pStyle w:val="BodyText"/>
      </w:pPr>
    </w:p>
    <w:p>
      <w:pPr>
        <w:pStyle w:val="ListParagraph"/>
        <w:numPr>
          <w:ilvl w:val="1"/>
          <w:numId w:val="1"/>
        </w:numPr>
        <w:tabs>
          <w:tab w:pos="1275" w:val="left" w:leader="none"/>
        </w:tabs>
        <w:spacing w:line="240" w:lineRule="auto" w:before="0" w:after="0"/>
        <w:ind w:left="1275" w:right="0" w:hanging="565"/>
        <w:jc w:val="both"/>
        <w:rPr>
          <w:sz w:val="24"/>
        </w:rPr>
      </w:pPr>
      <w:r>
        <w:rPr>
          <w:sz w:val="24"/>
        </w:rPr>
        <w:t>the</w:t>
      </w:r>
      <w:r>
        <w:rPr>
          <w:spacing w:val="-3"/>
          <w:sz w:val="24"/>
        </w:rPr>
        <w:t> </w:t>
      </w:r>
      <w:r>
        <w:rPr>
          <w:sz w:val="24"/>
        </w:rPr>
        <w:t>HR</w:t>
      </w:r>
      <w:r>
        <w:rPr>
          <w:spacing w:val="-2"/>
          <w:sz w:val="24"/>
        </w:rPr>
        <w:t> </w:t>
      </w:r>
      <w:r>
        <w:rPr>
          <w:sz w:val="24"/>
        </w:rPr>
        <w:t>performance</w:t>
      </w:r>
      <w:r>
        <w:rPr>
          <w:spacing w:val="-2"/>
          <w:sz w:val="24"/>
        </w:rPr>
        <w:t> information;</w:t>
      </w:r>
    </w:p>
    <w:p>
      <w:pPr>
        <w:pStyle w:val="ListParagraph"/>
        <w:spacing w:after="0" w:line="240" w:lineRule="auto"/>
        <w:jc w:val="both"/>
        <w:rPr>
          <w:sz w:val="24"/>
        </w:rPr>
        <w:sectPr>
          <w:pgSz w:w="11910" w:h="16840"/>
          <w:pgMar w:top="1340" w:bottom="280" w:left="1133" w:right="992"/>
        </w:sectPr>
      </w:pPr>
    </w:p>
    <w:p>
      <w:pPr>
        <w:pStyle w:val="ListParagraph"/>
        <w:numPr>
          <w:ilvl w:val="1"/>
          <w:numId w:val="1"/>
        </w:numPr>
        <w:tabs>
          <w:tab w:pos="1276" w:val="left" w:leader="none"/>
        </w:tabs>
        <w:spacing w:line="240" w:lineRule="auto" w:before="82" w:after="0"/>
        <w:ind w:left="1276" w:right="0" w:hanging="566"/>
        <w:jc w:val="left"/>
        <w:rPr>
          <w:sz w:val="24"/>
        </w:rPr>
      </w:pPr>
      <w:r>
        <w:rPr>
          <w:sz w:val="24"/>
        </w:rPr>
        <w:t>the</w:t>
      </w:r>
      <w:r>
        <w:rPr>
          <w:spacing w:val="-4"/>
          <w:sz w:val="24"/>
        </w:rPr>
        <w:t> </w:t>
      </w:r>
      <w:r>
        <w:rPr>
          <w:sz w:val="24"/>
        </w:rPr>
        <w:t>creation</w:t>
      </w:r>
      <w:r>
        <w:rPr>
          <w:spacing w:val="-3"/>
          <w:sz w:val="24"/>
        </w:rPr>
        <w:t> </w:t>
      </w:r>
      <w:r>
        <w:rPr>
          <w:sz w:val="24"/>
        </w:rPr>
        <w:t>of</w:t>
      </w:r>
      <w:r>
        <w:rPr>
          <w:spacing w:val="-3"/>
          <w:sz w:val="24"/>
        </w:rPr>
        <w:t> </w:t>
      </w:r>
      <w:r>
        <w:rPr>
          <w:sz w:val="24"/>
        </w:rPr>
        <w:t>a</w:t>
      </w:r>
      <w:r>
        <w:rPr>
          <w:spacing w:val="-2"/>
          <w:sz w:val="24"/>
        </w:rPr>
        <w:t> </w:t>
      </w:r>
      <w:r>
        <w:rPr>
          <w:sz w:val="24"/>
        </w:rPr>
        <w:t>new</w:t>
      </w:r>
      <w:r>
        <w:rPr>
          <w:spacing w:val="-2"/>
          <w:sz w:val="24"/>
        </w:rPr>
        <w:t> </w:t>
      </w:r>
      <w:r>
        <w:rPr>
          <w:sz w:val="24"/>
        </w:rPr>
        <w:t>training</w:t>
      </w:r>
      <w:r>
        <w:rPr>
          <w:spacing w:val="-3"/>
          <w:sz w:val="24"/>
        </w:rPr>
        <w:t> </w:t>
      </w:r>
      <w:r>
        <w:rPr>
          <w:sz w:val="24"/>
        </w:rPr>
        <w:t>and</w:t>
      </w:r>
      <w:r>
        <w:rPr>
          <w:spacing w:val="-2"/>
          <w:sz w:val="24"/>
        </w:rPr>
        <w:t> </w:t>
      </w:r>
      <w:r>
        <w:rPr>
          <w:sz w:val="24"/>
        </w:rPr>
        <w:t>development</w:t>
      </w:r>
      <w:r>
        <w:rPr>
          <w:spacing w:val="-2"/>
          <w:sz w:val="24"/>
        </w:rPr>
        <w:t> </w:t>
      </w:r>
      <w:r>
        <w:rPr>
          <w:sz w:val="24"/>
        </w:rPr>
        <w:t>post;</w:t>
      </w:r>
      <w:r>
        <w:rPr>
          <w:spacing w:val="-3"/>
          <w:sz w:val="24"/>
        </w:rPr>
        <w:t> </w:t>
      </w:r>
      <w:r>
        <w:rPr>
          <w:spacing w:val="-5"/>
          <w:sz w:val="24"/>
        </w:rPr>
        <w:t>and</w:t>
      </w:r>
    </w:p>
    <w:p>
      <w:pPr>
        <w:pStyle w:val="ListParagraph"/>
        <w:numPr>
          <w:ilvl w:val="1"/>
          <w:numId w:val="1"/>
        </w:numPr>
        <w:tabs>
          <w:tab w:pos="1276" w:val="left" w:leader="none"/>
        </w:tabs>
        <w:spacing w:line="240" w:lineRule="auto" w:before="0" w:after="0"/>
        <w:ind w:left="1276" w:right="136" w:hanging="567"/>
        <w:jc w:val="left"/>
        <w:rPr>
          <w:sz w:val="24"/>
        </w:rPr>
      </w:pPr>
      <w:r>
        <w:rPr>
          <w:sz w:val="24"/>
        </w:rPr>
        <w:t>that HR is monitoring potential changes to employment legislation as a result</w:t>
      </w:r>
      <w:r>
        <w:rPr>
          <w:spacing w:val="40"/>
          <w:sz w:val="24"/>
        </w:rPr>
        <w:t> </w:t>
      </w:r>
      <w:r>
        <w:rPr>
          <w:sz w:val="24"/>
        </w:rPr>
        <w:t>of the Employment Rights Bill.</w:t>
      </w:r>
    </w:p>
    <w:p>
      <w:pPr>
        <w:pStyle w:val="BodyText"/>
      </w:pPr>
    </w:p>
    <w:p>
      <w:pPr>
        <w:pStyle w:val="Heading1"/>
        <w:ind w:left="143" w:firstLine="0"/>
      </w:pPr>
      <w:r>
        <w:rPr/>
        <w:t>The Board is asked to resolve that the following item be restricted to Directors and the HLH Chief Executive Officer and the Company Secretary’s representative only.</w:t>
      </w:r>
    </w:p>
    <w:p>
      <w:pPr>
        <w:pStyle w:val="BodyText"/>
        <w:rPr>
          <w:b/>
        </w:rPr>
      </w:pPr>
    </w:p>
    <w:p>
      <w:pPr>
        <w:pStyle w:val="ListParagraph"/>
        <w:numPr>
          <w:ilvl w:val="0"/>
          <w:numId w:val="1"/>
        </w:numPr>
        <w:tabs>
          <w:tab w:pos="710" w:val="left" w:leader="none"/>
          <w:tab w:pos="8344" w:val="left" w:leader="none"/>
        </w:tabs>
        <w:spacing w:line="240" w:lineRule="auto" w:before="0" w:after="0"/>
        <w:ind w:left="710" w:right="0" w:hanging="567"/>
        <w:jc w:val="left"/>
        <w:rPr>
          <w:b/>
          <w:sz w:val="24"/>
        </w:rPr>
      </w:pPr>
      <w:r>
        <w:rPr>
          <w:b/>
          <w:sz w:val="24"/>
        </w:rPr>
        <w:t>Chief</w:t>
      </w:r>
      <w:r>
        <w:rPr>
          <w:b/>
          <w:spacing w:val="-4"/>
          <w:sz w:val="24"/>
        </w:rPr>
        <w:t> </w:t>
      </w:r>
      <w:r>
        <w:rPr>
          <w:b/>
          <w:sz w:val="24"/>
        </w:rPr>
        <w:t>Executive’s</w:t>
      </w:r>
      <w:r>
        <w:rPr>
          <w:b/>
          <w:spacing w:val="-1"/>
          <w:sz w:val="24"/>
        </w:rPr>
        <w:t> </w:t>
      </w:r>
      <w:r>
        <w:rPr>
          <w:b/>
          <w:spacing w:val="-4"/>
          <w:sz w:val="24"/>
        </w:rPr>
        <w:t>News</w:t>
      </w:r>
      <w:r>
        <w:rPr>
          <w:b/>
          <w:sz w:val="24"/>
        </w:rPr>
        <w:tab/>
      </w:r>
      <w:r>
        <w:rPr>
          <w:b/>
          <w:spacing w:val="-2"/>
          <w:sz w:val="24"/>
        </w:rPr>
        <w:t>PP.149-</w:t>
      </w:r>
      <w:r>
        <w:rPr>
          <w:b/>
          <w:spacing w:val="-5"/>
          <w:sz w:val="24"/>
        </w:rPr>
        <w:t>151</w:t>
      </w:r>
    </w:p>
    <w:p>
      <w:pPr>
        <w:pStyle w:val="BodyText"/>
        <w:rPr>
          <w:b/>
        </w:rPr>
      </w:pPr>
    </w:p>
    <w:p>
      <w:pPr>
        <w:pStyle w:val="BodyText"/>
        <w:spacing w:line="480" w:lineRule="auto"/>
        <w:ind w:left="710" w:right="379"/>
      </w:pPr>
      <w:r>
        <w:rPr/>
        <w:t>There</w:t>
      </w:r>
      <w:r>
        <w:rPr>
          <w:spacing w:val="-3"/>
        </w:rPr>
        <w:t> </w:t>
      </w:r>
      <w:r>
        <w:rPr/>
        <w:t>is</w:t>
      </w:r>
      <w:r>
        <w:rPr>
          <w:spacing w:val="-4"/>
        </w:rPr>
        <w:t> </w:t>
      </w:r>
      <w:r>
        <w:rPr/>
        <w:t>an</w:t>
      </w:r>
      <w:r>
        <w:rPr>
          <w:spacing w:val="-3"/>
        </w:rPr>
        <w:t> </w:t>
      </w:r>
      <w:r>
        <w:rPr/>
        <w:t>update</w:t>
      </w:r>
      <w:r>
        <w:rPr>
          <w:spacing w:val="-3"/>
        </w:rPr>
        <w:t> </w:t>
      </w:r>
      <w:r>
        <w:rPr/>
        <w:t>from</w:t>
      </w:r>
      <w:r>
        <w:rPr>
          <w:spacing w:val="-2"/>
        </w:rPr>
        <w:t> </w:t>
      </w:r>
      <w:r>
        <w:rPr/>
        <w:t>the</w:t>
      </w:r>
      <w:r>
        <w:rPr>
          <w:spacing w:val="-3"/>
        </w:rPr>
        <w:t> </w:t>
      </w:r>
      <w:r>
        <w:rPr/>
        <w:t>Chief</w:t>
      </w:r>
      <w:r>
        <w:rPr>
          <w:spacing w:val="-3"/>
        </w:rPr>
        <w:t> </w:t>
      </w:r>
      <w:r>
        <w:rPr/>
        <w:t>Executive</w:t>
      </w:r>
      <w:r>
        <w:rPr>
          <w:spacing w:val="-5"/>
        </w:rPr>
        <w:t> </w:t>
      </w:r>
      <w:r>
        <w:rPr/>
        <w:t>providing</w:t>
      </w:r>
      <w:r>
        <w:rPr>
          <w:spacing w:val="-3"/>
        </w:rPr>
        <w:t> </w:t>
      </w:r>
      <w:r>
        <w:rPr/>
        <w:t>information</w:t>
      </w:r>
      <w:r>
        <w:rPr>
          <w:spacing w:val="-3"/>
        </w:rPr>
        <w:t> </w:t>
      </w:r>
      <w:r>
        <w:rPr/>
        <w:t>to</w:t>
      </w:r>
      <w:r>
        <w:rPr>
          <w:spacing w:val="-3"/>
        </w:rPr>
        <w:t> </w:t>
      </w:r>
      <w:r>
        <w:rPr/>
        <w:t>Directors. The Board is invited to comment and note the update.</w:t>
      </w:r>
    </w:p>
    <w:sectPr>
      <w:pgSz w:w="11910" w:h="16840"/>
      <w:pgMar w:top="1340" w:bottom="280" w:left="1133" w:right="992"/>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710" w:hanging="567"/>
        <w:jc w:val="left"/>
      </w:pPr>
      <w:rPr>
        <w:rFonts w:hint="default" w:ascii="Arial" w:hAnsi="Arial" w:eastAsia="Arial" w:cs="Arial"/>
        <w:b/>
        <w:bCs/>
        <w:i w:val="0"/>
        <w:iCs w:val="0"/>
        <w:spacing w:val="0"/>
        <w:w w:val="100"/>
        <w:sz w:val="24"/>
        <w:szCs w:val="24"/>
        <w:lang w:val="en-US" w:eastAsia="en-US" w:bidi="ar-SA"/>
      </w:rPr>
    </w:lvl>
    <w:lvl w:ilvl="1">
      <w:start w:val="1"/>
      <w:numFmt w:val="lowerRoman"/>
      <w:lvlText w:val="%2."/>
      <w:lvlJc w:val="left"/>
      <w:pPr>
        <w:ind w:left="1276" w:hanging="567"/>
        <w:jc w:val="left"/>
      </w:pPr>
      <w:rPr>
        <w:rFonts w:hint="default" w:ascii="Arial" w:hAnsi="Arial" w:eastAsia="Arial" w:cs="Arial"/>
        <w:b w:val="0"/>
        <w:bCs w:val="0"/>
        <w:i w:val="0"/>
        <w:iCs w:val="0"/>
        <w:spacing w:val="-1"/>
        <w:w w:val="100"/>
        <w:sz w:val="24"/>
        <w:szCs w:val="24"/>
        <w:lang w:val="en-US" w:eastAsia="en-US" w:bidi="ar-SA"/>
      </w:rPr>
    </w:lvl>
    <w:lvl w:ilvl="2">
      <w:start w:val="0"/>
      <w:numFmt w:val="bullet"/>
      <w:lvlText w:val="•"/>
      <w:lvlJc w:val="left"/>
      <w:pPr>
        <w:ind w:left="2224" w:hanging="567"/>
      </w:pPr>
      <w:rPr>
        <w:rFonts w:hint="default"/>
        <w:lang w:val="en-US" w:eastAsia="en-US" w:bidi="ar-SA"/>
      </w:rPr>
    </w:lvl>
    <w:lvl w:ilvl="3">
      <w:start w:val="0"/>
      <w:numFmt w:val="bullet"/>
      <w:lvlText w:val="•"/>
      <w:lvlJc w:val="left"/>
      <w:pPr>
        <w:ind w:left="3169" w:hanging="567"/>
      </w:pPr>
      <w:rPr>
        <w:rFonts w:hint="default"/>
        <w:lang w:val="en-US" w:eastAsia="en-US" w:bidi="ar-SA"/>
      </w:rPr>
    </w:lvl>
    <w:lvl w:ilvl="4">
      <w:start w:val="0"/>
      <w:numFmt w:val="bullet"/>
      <w:lvlText w:val="•"/>
      <w:lvlJc w:val="left"/>
      <w:pPr>
        <w:ind w:left="4113" w:hanging="567"/>
      </w:pPr>
      <w:rPr>
        <w:rFonts w:hint="default"/>
        <w:lang w:val="en-US" w:eastAsia="en-US" w:bidi="ar-SA"/>
      </w:rPr>
    </w:lvl>
    <w:lvl w:ilvl="5">
      <w:start w:val="0"/>
      <w:numFmt w:val="bullet"/>
      <w:lvlText w:val="•"/>
      <w:lvlJc w:val="left"/>
      <w:pPr>
        <w:ind w:left="5058" w:hanging="567"/>
      </w:pPr>
      <w:rPr>
        <w:rFonts w:hint="default"/>
        <w:lang w:val="en-US" w:eastAsia="en-US" w:bidi="ar-SA"/>
      </w:rPr>
    </w:lvl>
    <w:lvl w:ilvl="6">
      <w:start w:val="0"/>
      <w:numFmt w:val="bullet"/>
      <w:lvlText w:val="•"/>
      <w:lvlJc w:val="left"/>
      <w:pPr>
        <w:ind w:left="6003" w:hanging="567"/>
      </w:pPr>
      <w:rPr>
        <w:rFonts w:hint="default"/>
        <w:lang w:val="en-US" w:eastAsia="en-US" w:bidi="ar-SA"/>
      </w:rPr>
    </w:lvl>
    <w:lvl w:ilvl="7">
      <w:start w:val="0"/>
      <w:numFmt w:val="bullet"/>
      <w:lvlText w:val="•"/>
      <w:lvlJc w:val="left"/>
      <w:pPr>
        <w:ind w:left="6947" w:hanging="567"/>
      </w:pPr>
      <w:rPr>
        <w:rFonts w:hint="default"/>
        <w:lang w:val="en-US" w:eastAsia="en-US" w:bidi="ar-SA"/>
      </w:rPr>
    </w:lvl>
    <w:lvl w:ilvl="8">
      <w:start w:val="0"/>
      <w:numFmt w:val="bullet"/>
      <w:lvlText w:val="•"/>
      <w:lvlJc w:val="left"/>
      <w:pPr>
        <w:ind w:left="7892" w:hanging="567"/>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4"/>
      <w:szCs w:val="24"/>
      <w:lang w:val="en-US" w:eastAsia="en-US" w:bidi="ar-SA"/>
    </w:rPr>
  </w:style>
  <w:style w:styleId="Heading1" w:type="paragraph">
    <w:name w:val="Heading 1"/>
    <w:basedOn w:val="Normal"/>
    <w:uiPriority w:val="1"/>
    <w:qFormat/>
    <w:pPr>
      <w:ind w:left="710" w:hanging="567"/>
      <w:outlineLvl w:val="1"/>
    </w:pPr>
    <w:rPr>
      <w:rFonts w:ascii="Arial" w:hAnsi="Arial" w:eastAsia="Arial" w:cs="Arial"/>
      <w:b/>
      <w:bCs/>
      <w:sz w:val="24"/>
      <w:szCs w:val="24"/>
      <w:lang w:val="en-US" w:eastAsia="en-US" w:bidi="ar-SA"/>
    </w:rPr>
  </w:style>
  <w:style w:styleId="ListParagraph" w:type="paragraph">
    <w:name w:val="List Paragraph"/>
    <w:basedOn w:val="Normal"/>
    <w:uiPriority w:val="1"/>
    <w:qFormat/>
    <w:pPr>
      <w:ind w:left="1276" w:hanging="567"/>
    </w:pPr>
    <w:rPr>
      <w:rFonts w:ascii="Arial" w:hAnsi="Arial" w:eastAsia="Arial" w:cs="Arial"/>
      <w:lang w:val="en-US" w:eastAsia="en-US" w:bidi="ar-SA"/>
    </w:rPr>
  </w:style>
  <w:style w:styleId="TableParagraph" w:type="paragraph">
    <w:name w:val="Table Paragraph"/>
    <w:basedOn w:val="Normal"/>
    <w:uiPriority w:val="1"/>
    <w:qFormat/>
    <w:pPr>
      <w:ind w:left="50"/>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theme" Target="theme/theme1.xml"/><Relationship Id="rId7" Type="http://schemas.openxmlformats.org/officeDocument/2006/relationships/customXml" Target="../customXml/item2.xml"/><Relationship Id="rId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AB708E42E7E345B8456CCFC18D9783" ma:contentTypeVersion="16" ma:contentTypeDescription="Create a new document." ma:contentTypeScope="" ma:versionID="f48b1368ee1e1b65ff6a1fb39b7ec181">
  <xsd:schema xmlns:xsd="http://www.w3.org/2001/XMLSchema" xmlns:xs="http://www.w3.org/2001/XMLSchema" xmlns:p="http://schemas.microsoft.com/office/2006/metadata/properties" xmlns:ns2="38414d70-2a13-4ef6-81dd-46a0748d05f7" xmlns:ns3="8ad5fbb2-2192-4c06-97aa-b19be9df9d85" targetNamespace="http://schemas.microsoft.com/office/2006/metadata/properties" ma:root="true" ma:fieldsID="c2a2ae14cbaf27cd0b971bbfb674df4f" ns2:_="" ns3:_="">
    <xsd:import namespace="38414d70-2a13-4ef6-81dd-46a0748d05f7"/>
    <xsd:import namespace="8ad5fbb2-2192-4c06-97aa-b19be9df9d8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414d70-2a13-4ef6-81dd-46a0748d05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d8d7fc4-e056-491b-b14d-914997007d2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d5fbb2-2192-4c06-97aa-b19be9df9d8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2a5b9385-0170-49a4-9f58-25f3e2033525}" ma:internalName="TaxCatchAll" ma:showField="CatchAllData" ma:web="8ad5fbb2-2192-4c06-97aa-b19be9df9d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ad5fbb2-2192-4c06-97aa-b19be9df9d85" xsi:nil="true"/>
    <lcf76f155ced4ddcb4097134ff3c332f xmlns="38414d70-2a13-4ef6-81dd-46a0748d05f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D00F45A-DA4A-4684-830D-C41DD319061E}"/>
</file>

<file path=customXml/itemProps2.xml><?xml version="1.0" encoding="utf-8"?>
<ds:datastoreItem xmlns:ds="http://schemas.openxmlformats.org/officeDocument/2006/customXml" ds:itemID="{412AB012-9437-44CF-91F7-50F31EAEB9AF}"/>
</file>

<file path=customXml/itemProps3.xml><?xml version="1.0" encoding="utf-8"?>
<ds:datastoreItem xmlns:ds="http://schemas.openxmlformats.org/officeDocument/2006/customXml" ds:itemID="{D461ADE0-8004-489F-84B5-DF38EFF13034}"/>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2025-06-17T15:12:27Z</dcterms:created>
  <dcterms:modified xsi:type="dcterms:W3CDTF">2025-06-17T15:12:27Z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2025-06-10T00:00:00Z</vt:filetime>
  </property>
  <property fmtid="{D5CDD505-2E9C-101B-9397-08002B2CF9AE}" pid="3" name="Creator">
    <vt:lpwstr>Adobe Acrobat (64-bit) 25.1.20474</vt:lpwstr>
  </property>
  <property fmtid="{D5CDD505-2E9C-101B-9397-08002B2CF9AE}" pid="4" name="LastSaved">
    <vt:filetime>2025-06-17T00:00:00Z</vt:filetime>
  </property>
  <property fmtid="{D5CDD505-2E9C-101B-9397-08002B2CF9AE}" pid="5" name="Producer">
    <vt:lpwstr>Adobe Acrobat (64-bit) 25.1.20474</vt:lpwstr>
  </property>
  <property fmtid="{D5CDD505-2E9C-101B-9397-08002B2CF9AE}" pid="6" name="ContentTypeId">
    <vt:lpwstr>0x01010075AB708E42E7E345B8456CCFC18D9783</vt:lpwstr>
  </property>
</Properties>
</file>